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10121"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21"/>
      </w:tblGrid>
      <w:tr w14:paraId="5FCBB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87" w:hRule="atLeast"/>
        </w:trPr>
        <w:tc>
          <w:tcPr>
            <w:tcW w:w="10121" w:type="dxa"/>
            <w:shd w:val="clear" w:color="auto" w:fill="FFFFFF" w:themeFill="background1"/>
          </w:tcPr>
          <w:p w14:paraId="36AC9AD4">
            <w:pPr>
              <w:keepNext w:val="0"/>
              <w:keepLines w:val="0"/>
              <w:suppressLineNumbers w:val="0"/>
              <w:spacing w:before="0" w:beforeAutospacing="0" w:after="0" w:afterAutospacing="0" w:line="460" w:lineRule="exact"/>
              <w:ind w:left="0" w:right="0" w:firstLine="494" w:firstLineChars="206"/>
              <w:rPr>
                <w:rFonts w:hint="eastAsia" w:ascii="宋体" w:hAnsi="宋体" w:eastAsia="宋体" w:cs="宋体"/>
                <w:sz w:val="24"/>
                <w:highlight w:val="none"/>
                <w:lang w:eastAsia="zh-CN"/>
              </w:rPr>
            </w:pPr>
            <w:r>
              <w:rPr>
                <w:rFonts w:hint="eastAsia" w:ascii="宋体" w:hAnsi="宋体" w:eastAsia="宋体" w:cs="宋体"/>
                <w:sz w:val="24"/>
                <w:highlight w:val="none"/>
                <w:lang w:eastAsia="zh-CN"/>
              </w:rPr>
              <w:t>一、报价人须知</w:t>
            </w:r>
          </w:p>
          <w:p w14:paraId="527F57D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（一）应按工程量清单及其计价格式规定的内容进行编制、填写、签字、盖章。</w:t>
            </w:r>
          </w:p>
          <w:p w14:paraId="211E19E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（二）工程量清单及其计价格式中的任何内容不得随意删除或涂改。</w:t>
            </w:r>
          </w:p>
          <w:p w14:paraId="01DABF3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（三）工程量清单计价格式中列明的所有需要填报的单价和合价，投标单位均应填报，未填报的单价和合价，视为此项费用已包含在工程量清单的其他单价和合价内。</w:t>
            </w:r>
          </w:p>
          <w:p w14:paraId="76091F8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（四）清单项目中凡注明“以下、以内、小于”字样者，均包括本身；注明“以上、以外、大于”字样者，均不包括本身。</w:t>
            </w:r>
          </w:p>
          <w:p w14:paraId="29FEDAF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（五）金额（价格）均以人民币表示。</w:t>
            </w:r>
            <w:bookmarkStart w:id="0" w:name="_GoBack"/>
            <w:bookmarkEnd w:id="0"/>
          </w:p>
          <w:p w14:paraId="2DA0738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二、工程名称：</w:t>
            </w:r>
            <w:r>
              <w:rPr>
                <w:rFonts w:hint="eastAsia" w:ascii="宋体" w:hAnsi="宋体" w:eastAsia="宋体" w:cs="宋体"/>
                <w:sz w:val="24"/>
                <w:szCs w:val="24"/>
                <w:highlight w:val="none"/>
              </w:rPr>
              <w:t>数字经济产业园A1#厂房升级改造智能化工程。</w:t>
            </w:r>
          </w:p>
          <w:p w14:paraId="05890EA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20" w:lineRule="exact"/>
              <w:ind w:left="0" w:leftChars="0" w:right="0"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eastAsia="zh-CN"/>
              </w:rPr>
              <w:t>三、工程概况：</w:t>
            </w:r>
            <w:r>
              <w:rPr>
                <w:rFonts w:hint="eastAsia" w:ascii="宋体" w:hAnsi="宋体" w:cs="宋体"/>
                <w:sz w:val="24"/>
                <w:szCs w:val="24"/>
                <w:highlight w:val="none"/>
                <w:lang w:eastAsia="zh-CN"/>
              </w:rPr>
              <w:t>本工程</w:t>
            </w:r>
            <w:r>
              <w:rPr>
                <w:rFonts w:hint="eastAsia" w:ascii="宋体" w:hAnsi="宋体" w:eastAsia="宋体" w:cs="宋体"/>
                <w:sz w:val="24"/>
                <w:szCs w:val="24"/>
                <w:highlight w:val="none"/>
                <w:lang w:val="en-US" w:eastAsia="zh-CN"/>
              </w:rPr>
              <w:t>位于位于临港经济技术开发区。包含监控系统、网络系统、LED屏系统、机房系统及相应设备、线缆的采购安装及调试、成品手孔井安装、配套管沟的土方开挖及回填等。</w:t>
            </w:r>
          </w:p>
          <w:p w14:paraId="2D9F185E">
            <w:pPr>
              <w:keepNext w:val="0"/>
              <w:keepLines w:val="0"/>
              <w:suppressLineNumbers w:val="0"/>
              <w:spacing w:before="0" w:beforeAutospacing="0" w:after="0" w:afterAutospacing="0" w:line="460" w:lineRule="exact"/>
              <w:ind w:left="0" w:right="0" w:firstLine="494" w:firstLineChars="206"/>
              <w:rPr>
                <w:rFonts w:hint="eastAsia" w:ascii="宋体" w:hAnsi="宋体" w:eastAsia="宋体" w:cs="宋体"/>
                <w:sz w:val="24"/>
                <w:highlight w:val="none"/>
                <w:lang w:eastAsia="zh-CN"/>
              </w:rPr>
            </w:pPr>
            <w:r>
              <w:rPr>
                <w:rFonts w:hint="eastAsia" w:ascii="宋体" w:hAnsi="宋体" w:eastAsia="宋体" w:cs="宋体"/>
                <w:sz w:val="24"/>
                <w:highlight w:val="none"/>
                <w:lang w:eastAsia="zh-CN"/>
              </w:rPr>
              <w:t>四、工程招标范围</w:t>
            </w:r>
          </w:p>
          <w:p w14:paraId="7090D95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20" w:lineRule="exact"/>
              <w:ind w:left="19" w:leftChars="9" w:right="0" w:firstLine="458" w:firstLineChars="191"/>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eastAsia="zh-CN"/>
              </w:rPr>
              <w:t>设计图纸范围内的安装工程，</w:t>
            </w:r>
            <w:r>
              <w:rPr>
                <w:rFonts w:hint="eastAsia" w:ascii="宋体" w:hAnsi="宋体" w:eastAsia="宋体" w:cs="宋体"/>
                <w:sz w:val="24"/>
                <w:szCs w:val="24"/>
                <w:highlight w:val="none"/>
                <w:lang w:val="en-US" w:eastAsia="zh-CN"/>
              </w:rPr>
              <w:t>包含监控系统、网络系统、LED屏系统、机房系统及相应设备、线缆的采购安装及调试、成品手孔井安装、配套管沟的土方开挖及回填等。</w:t>
            </w:r>
          </w:p>
          <w:p w14:paraId="3EF6128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五、工程质量：达到国家验收规范合格标准。</w:t>
            </w:r>
          </w:p>
          <w:p w14:paraId="67688AA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六、编制依据</w:t>
            </w:r>
          </w:p>
          <w:p w14:paraId="3F55CC2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（一）建设部《建设工程工程量清单计价规范》(GB50500-2008)</w:t>
            </w:r>
          </w:p>
          <w:p w14:paraId="5359D47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sz w:val="24"/>
                <w:highlight w:val="none"/>
              </w:rPr>
            </w:pPr>
            <w:r>
              <w:rPr>
                <w:rFonts w:hint="eastAsia" w:ascii="宋体" w:hAnsi="宋体" w:cs="宋体"/>
                <w:sz w:val="24"/>
                <w:szCs w:val="24"/>
                <w:highlight w:val="none"/>
                <w:lang w:eastAsia="zh-CN"/>
              </w:rPr>
              <w:t>（二）</w:t>
            </w:r>
            <w:r>
              <w:rPr>
                <w:rFonts w:hint="eastAsia" w:ascii="宋体" w:hAnsi="宋体"/>
                <w:sz w:val="24"/>
                <w:highlight w:val="none"/>
              </w:rPr>
              <w:t>《山东省建设工程工程量清单计价规则》（2011）</w:t>
            </w:r>
          </w:p>
          <w:p w14:paraId="66F2E22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（三）</w:t>
            </w:r>
            <w:r>
              <w:rPr>
                <w:rFonts w:hint="eastAsia" w:ascii="宋体" w:hAnsi="宋体"/>
                <w:sz w:val="24"/>
                <w:highlight w:val="none"/>
              </w:rPr>
              <w:t>《山东省建设工程费用项目组成及计算规则》(2011)</w:t>
            </w:r>
          </w:p>
          <w:p w14:paraId="5D1F003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lang w:eastAsia="zh-CN"/>
              </w:rPr>
            </w:pPr>
            <w:r>
              <w:rPr>
                <w:rFonts w:hint="eastAsia" w:ascii="宋体" w:hAnsi="宋体" w:cs="宋体"/>
                <w:sz w:val="24"/>
                <w:szCs w:val="24"/>
                <w:highlight w:val="none"/>
                <w:lang w:val="en-US" w:eastAsia="zh-CN"/>
              </w:rPr>
              <w:t>（四）</w:t>
            </w:r>
            <w:r>
              <w:rPr>
                <w:rFonts w:hint="eastAsia" w:ascii="宋体" w:hAnsi="宋体" w:eastAsia="宋体" w:cs="宋体"/>
                <w:sz w:val="24"/>
                <w:szCs w:val="24"/>
                <w:highlight w:val="none"/>
              </w:rPr>
              <w:t>招标人提供的施工图纸及相关设计答疑等资料</w:t>
            </w:r>
          </w:p>
          <w:p w14:paraId="34FBA63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lang w:eastAsia="zh-CN"/>
              </w:rPr>
            </w:pPr>
            <w:r>
              <w:rPr>
                <w:rFonts w:hint="eastAsia" w:ascii="宋体" w:hAnsi="宋体" w:cs="宋体"/>
                <w:sz w:val="24"/>
                <w:szCs w:val="24"/>
                <w:highlight w:val="none"/>
                <w:lang w:val="en-US" w:eastAsia="zh-CN"/>
              </w:rPr>
              <w:t>（五）</w:t>
            </w:r>
            <w:r>
              <w:rPr>
                <w:rFonts w:hint="eastAsia" w:ascii="宋体" w:hAnsi="宋体" w:eastAsia="宋体" w:cs="宋体"/>
                <w:sz w:val="24"/>
                <w:szCs w:val="24"/>
                <w:highlight w:val="none"/>
              </w:rPr>
              <w:t>省和市建设主管部门颁发的计价定额和计价管理办法及有关计价要求</w:t>
            </w:r>
          </w:p>
          <w:p w14:paraId="0CFFF6E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lang w:eastAsia="zh-CN"/>
              </w:rPr>
            </w:pPr>
            <w:r>
              <w:rPr>
                <w:rFonts w:hint="eastAsia" w:ascii="宋体" w:hAnsi="宋体" w:cs="宋体"/>
                <w:sz w:val="24"/>
                <w:szCs w:val="24"/>
                <w:highlight w:val="none"/>
                <w:lang w:val="en-US" w:eastAsia="zh-CN"/>
              </w:rPr>
              <w:t>（六）</w:t>
            </w:r>
            <w:r>
              <w:rPr>
                <w:rFonts w:hint="eastAsia" w:ascii="宋体" w:hAnsi="宋体" w:eastAsia="宋体" w:cs="宋体"/>
                <w:sz w:val="24"/>
                <w:szCs w:val="24"/>
                <w:highlight w:val="none"/>
              </w:rPr>
              <w:t>与建设项目相关的标准设计图集、规范、技术资料等</w:t>
            </w:r>
          </w:p>
          <w:p w14:paraId="7715BB5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rPr>
            </w:pPr>
            <w:r>
              <w:rPr>
                <w:rFonts w:hint="eastAsia" w:ascii="宋体" w:hAnsi="宋体" w:cs="宋体"/>
                <w:sz w:val="24"/>
                <w:szCs w:val="24"/>
                <w:highlight w:val="none"/>
                <w:lang w:eastAsia="zh-CN"/>
              </w:rPr>
              <w:t>七</w:t>
            </w:r>
            <w:r>
              <w:rPr>
                <w:rFonts w:hint="eastAsia" w:ascii="宋体" w:hAnsi="宋体" w:eastAsia="宋体" w:cs="宋体"/>
                <w:sz w:val="24"/>
                <w:szCs w:val="24"/>
                <w:highlight w:val="none"/>
              </w:rPr>
              <w:t>、投标单位参与投标视为已考察工程现场、对现场情况（包括工地位置情况、道路、存贮空间、装运限制及任何其他足以影响报价的情况）已较为了解和充分预计，并能根据已了解情况合理组织完成施工，现场原有工程的实际情况（包括与其他专业施工单位交接过程中的各种因素）视为在报价中已充分考虑，任何因忽视或误解工地情况而导致的索赔或工期延长将不被批准。</w:t>
            </w:r>
          </w:p>
          <w:p w14:paraId="107E9B2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rPr>
            </w:pPr>
            <w:r>
              <w:rPr>
                <w:rFonts w:hint="eastAsia" w:ascii="宋体" w:hAnsi="宋体" w:cs="宋体"/>
                <w:sz w:val="24"/>
                <w:szCs w:val="24"/>
                <w:highlight w:val="none"/>
                <w:lang w:eastAsia="zh-CN"/>
              </w:rPr>
              <w:t>八</w:t>
            </w:r>
            <w:r>
              <w:rPr>
                <w:rFonts w:hint="eastAsia" w:ascii="宋体" w:hAnsi="宋体" w:eastAsia="宋体" w:cs="宋体"/>
                <w:sz w:val="24"/>
                <w:szCs w:val="24"/>
                <w:highlight w:val="none"/>
              </w:rPr>
              <w:t>、</w:t>
            </w:r>
            <w:r>
              <w:rPr>
                <w:rFonts w:hint="eastAsia" w:ascii="宋体" w:hAnsi="宋体" w:cs="宋体"/>
                <w:color w:val="auto"/>
                <w:sz w:val="24"/>
                <w:highlight w:val="none"/>
              </w:rPr>
              <w:t>投标单位在投标报价时，应根据现场条件、招标文件要求，按照《建设工程工程量清单计价规范》</w:t>
            </w:r>
            <w:r>
              <w:rPr>
                <w:rFonts w:hint="eastAsia" w:ascii="宋体" w:hAnsi="宋体"/>
                <w:sz w:val="24"/>
                <w:highlight w:val="none"/>
              </w:rPr>
              <w:t>(GB50500-2008)</w:t>
            </w:r>
            <w:r>
              <w:rPr>
                <w:rFonts w:hint="eastAsia" w:ascii="宋体" w:hAnsi="宋体" w:cs="宋体"/>
                <w:color w:val="auto"/>
                <w:sz w:val="24"/>
                <w:highlight w:val="none"/>
              </w:rPr>
              <w:t>、《山东省建设工程工程量清单计价规则》</w:t>
            </w:r>
            <w:r>
              <w:rPr>
                <w:rFonts w:hint="eastAsia" w:ascii="宋体" w:hAnsi="宋体"/>
                <w:sz w:val="24"/>
                <w:highlight w:val="none"/>
              </w:rPr>
              <w:t>（2011）</w:t>
            </w:r>
            <w:r>
              <w:rPr>
                <w:rFonts w:hint="eastAsia" w:ascii="宋体" w:hAnsi="宋体" w:cs="宋体"/>
                <w:color w:val="auto"/>
                <w:sz w:val="24"/>
                <w:highlight w:val="none"/>
              </w:rPr>
              <w:t>、本清单说明及子目规定的计算规则，结合施工方案、技术规范、技术装备、技术能力、施工管理经验及市场行情等规定综合分析及测算，在保证成本且有适当利润的前提下填报</w:t>
            </w:r>
            <w:r>
              <w:rPr>
                <w:rFonts w:hint="eastAsia" w:ascii="宋体" w:hAnsi="宋体" w:eastAsia="宋体" w:cs="宋体"/>
                <w:sz w:val="24"/>
                <w:szCs w:val="24"/>
                <w:highlight w:val="none"/>
              </w:rPr>
              <w:t>。</w:t>
            </w:r>
          </w:p>
          <w:p w14:paraId="37D8B1E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rPr>
            </w:pPr>
            <w:r>
              <w:rPr>
                <w:rFonts w:hint="eastAsia" w:ascii="宋体" w:hAnsi="宋体" w:cs="宋体"/>
                <w:sz w:val="24"/>
                <w:szCs w:val="24"/>
                <w:highlight w:val="none"/>
                <w:lang w:eastAsia="zh-CN"/>
              </w:rPr>
              <w:t>九</w:t>
            </w:r>
            <w:r>
              <w:rPr>
                <w:rFonts w:hint="eastAsia" w:ascii="宋体" w:hAnsi="宋体" w:eastAsia="宋体" w:cs="宋体"/>
                <w:sz w:val="24"/>
                <w:szCs w:val="24"/>
                <w:highlight w:val="none"/>
              </w:rPr>
              <w:t>、投标单位在投标报价时，应考虑本工程的招标范围、工期要求与承包方式、以及不同专业交叉作业影响，并将与此有关的可能产生的费用考虑在相应的投标报价中。</w:t>
            </w:r>
          </w:p>
          <w:p w14:paraId="22B02A8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十、投标单位在投标报价时，应根据企业自身实力结合市场信息，充分考虑市场竞争因素和市场风险进行自主报价。工程量清单计价表中的综合单价应包括完成本项目（清单子目）内容所需的人工费、材料费、机械使用费、制作费、运输费、安装费、管理费、利润、检验试验费、采保费、损耗、成品保护费等，并考虑风险因素，以及为完成本工程项目（清单子目）的施工所发生于该工程施工前和施工过程中技术、生活、安全等方面的非工程实体项目费用，以及招标文件和合同中明确的其他责任和义务。</w:t>
            </w:r>
          </w:p>
          <w:p w14:paraId="1BFAC21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十</w:t>
            </w:r>
            <w:r>
              <w:rPr>
                <w:rFonts w:hint="eastAsia" w:ascii="宋体" w:hAnsi="宋体" w:eastAsia="宋体" w:cs="宋体"/>
                <w:sz w:val="24"/>
                <w:szCs w:val="24"/>
                <w:highlight w:val="none"/>
                <w:lang w:eastAsia="zh-CN"/>
              </w:rPr>
              <w:t>一</w:t>
            </w:r>
            <w:r>
              <w:rPr>
                <w:rFonts w:hint="eastAsia" w:ascii="宋体" w:hAnsi="宋体" w:eastAsia="宋体" w:cs="宋体"/>
                <w:sz w:val="24"/>
                <w:szCs w:val="24"/>
                <w:highlight w:val="none"/>
              </w:rPr>
              <w:t>、投标单位在投标时应按给定的统一格式</w:t>
            </w:r>
            <w:r>
              <w:rPr>
                <w:rFonts w:hint="eastAsia" w:ascii="宋体" w:hAnsi="宋体" w:eastAsia="宋体" w:cs="宋体"/>
                <w:sz w:val="24"/>
                <w:szCs w:val="24"/>
                <w:highlight w:val="none"/>
                <w:lang w:eastAsia="zh-CN"/>
              </w:rPr>
              <w:t>报表</w:t>
            </w:r>
            <w:r>
              <w:rPr>
                <w:rFonts w:hint="eastAsia" w:ascii="宋体" w:hAnsi="宋体" w:eastAsia="宋体" w:cs="宋体"/>
                <w:sz w:val="24"/>
                <w:szCs w:val="24"/>
                <w:highlight w:val="none"/>
              </w:rPr>
              <w:t>，按其规定内容填写；提供“ 工程项目费用汇总表”“ 单项工程费用汇总表”“单位工程费用汇总表”“分部分项工程量清单与计价表”“工程量清单综合单价分析表”“措施项目清单计价汇总表”“措施项目清单与计价表（一）”“措施项目清单与计价表（二）”“措施项目清单单价分析表”“规费、税金项目清单与计价表”“工料机汇总表”等，投标单位应按其规定内容填写。投标单位另需按清单给定的统一格式，提供</w:t>
            </w:r>
            <w:r>
              <w:rPr>
                <w:rFonts w:hint="eastAsia" w:ascii="宋体" w:hAnsi="宋体" w:eastAsia="宋体" w:cs="宋体"/>
                <w:sz w:val="24"/>
                <w:szCs w:val="24"/>
                <w:highlight w:val="none"/>
                <w:lang w:eastAsia="zh-CN"/>
              </w:rPr>
              <w:t>“工程议价材料表”、</w:t>
            </w:r>
            <w:r>
              <w:rPr>
                <w:rFonts w:hint="eastAsia" w:ascii="宋体" w:hAnsi="宋体" w:eastAsia="宋体" w:cs="宋体"/>
                <w:sz w:val="24"/>
                <w:szCs w:val="24"/>
                <w:highlight w:val="none"/>
              </w:rPr>
              <w:t>“工程主材汇总表”</w:t>
            </w:r>
            <w:r>
              <w:rPr>
                <w:rFonts w:hint="eastAsia" w:ascii="宋体" w:hAnsi="宋体" w:eastAsia="宋体" w:cs="宋体"/>
                <w:sz w:val="24"/>
                <w:szCs w:val="24"/>
                <w:highlight w:val="none"/>
                <w:lang w:eastAsia="zh-CN"/>
              </w:rPr>
              <w:t>“工程设备汇总表”</w:t>
            </w:r>
            <w:r>
              <w:rPr>
                <w:rFonts w:hint="eastAsia" w:ascii="宋体" w:hAnsi="宋体" w:eastAsia="宋体" w:cs="宋体"/>
                <w:sz w:val="24"/>
                <w:szCs w:val="24"/>
                <w:highlight w:val="none"/>
              </w:rPr>
              <w:t>等。</w:t>
            </w:r>
          </w:p>
          <w:p w14:paraId="47EBA84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十</w:t>
            </w:r>
            <w:r>
              <w:rPr>
                <w:rFonts w:hint="eastAsia" w:ascii="宋体" w:hAnsi="宋体" w:cs="宋体"/>
                <w:sz w:val="24"/>
                <w:szCs w:val="24"/>
                <w:highlight w:val="none"/>
                <w:lang w:eastAsia="zh-CN"/>
              </w:rPr>
              <w:t>二</w:t>
            </w:r>
            <w:r>
              <w:rPr>
                <w:rFonts w:hint="eastAsia" w:ascii="宋体" w:hAnsi="宋体" w:eastAsia="宋体" w:cs="宋体"/>
                <w:sz w:val="24"/>
                <w:szCs w:val="24"/>
                <w:highlight w:val="none"/>
              </w:rPr>
              <w:t>、投标单位按照本清单填报工程量清单计价表中的综合单价，严禁不平衡报价，不得恶意降低报价扰乱市场，评标委员会有权对不合理报价进行质疑，投标单位应给予合理的答复。否则，经评标委员会评定为不合理报价的投标文件将否决其投标。如中标人编制的部分工程量清单单价与市场价偏离较大，招标人有权要求中标单位在签订合同时调整至合理价格。</w:t>
            </w:r>
          </w:p>
          <w:p w14:paraId="7E3D70E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十</w:t>
            </w:r>
            <w:r>
              <w:rPr>
                <w:rFonts w:hint="eastAsia" w:ascii="宋体" w:hAnsi="宋体" w:cs="宋体"/>
                <w:sz w:val="24"/>
                <w:szCs w:val="24"/>
                <w:highlight w:val="none"/>
                <w:lang w:eastAsia="zh-CN"/>
              </w:rPr>
              <w:t>三</w:t>
            </w:r>
            <w:r>
              <w:rPr>
                <w:rFonts w:hint="eastAsia" w:ascii="宋体" w:hAnsi="宋体" w:eastAsia="宋体" w:cs="宋体"/>
                <w:sz w:val="24"/>
                <w:szCs w:val="24"/>
                <w:highlight w:val="none"/>
              </w:rPr>
              <w:t>、投标单位必须完成所有按国家相关法律法规、行业规范等文件要求的检验、检测和验收工作，结算时不增加此部分费用。</w:t>
            </w:r>
          </w:p>
          <w:p w14:paraId="6905140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十</w:t>
            </w:r>
            <w:r>
              <w:rPr>
                <w:rFonts w:hint="eastAsia" w:ascii="宋体" w:hAnsi="宋体" w:cs="宋体"/>
                <w:sz w:val="24"/>
                <w:szCs w:val="24"/>
                <w:highlight w:val="none"/>
                <w:lang w:eastAsia="zh-CN"/>
              </w:rPr>
              <w:t>四</w:t>
            </w:r>
            <w:r>
              <w:rPr>
                <w:rFonts w:hint="eastAsia" w:ascii="宋体" w:hAnsi="宋体" w:eastAsia="宋体" w:cs="宋体"/>
                <w:sz w:val="24"/>
                <w:szCs w:val="24"/>
                <w:highlight w:val="none"/>
              </w:rPr>
              <w:t>、所有材料均应选用符合国标的产品，建设单位规定品牌的材料要在工料机汇总表、工程主材汇总表中注明选用材料的品牌，所有由投标单位自主报价的材料，采购前中标单位均须提供样品，经招标人同意后方可使用。若中标单位提供的样品或因其它的原因达不到招标人的要求，招标人有权指定供应商，一切费用由中标单位承担。</w:t>
            </w:r>
          </w:p>
          <w:p w14:paraId="13C37F0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十</w:t>
            </w:r>
            <w:r>
              <w:rPr>
                <w:rFonts w:hint="eastAsia" w:ascii="宋体" w:hAnsi="宋体" w:cs="宋体"/>
                <w:sz w:val="24"/>
                <w:szCs w:val="24"/>
                <w:highlight w:val="none"/>
                <w:lang w:eastAsia="zh-CN"/>
              </w:rPr>
              <w:t>五</w:t>
            </w:r>
            <w:r>
              <w:rPr>
                <w:rFonts w:hint="eastAsia" w:ascii="宋体" w:hAnsi="宋体" w:eastAsia="宋体" w:cs="宋体"/>
                <w:sz w:val="24"/>
                <w:szCs w:val="24"/>
                <w:highlight w:val="none"/>
              </w:rPr>
              <w:t>、投标单位在投标报价中，规费和税金必须足额计取，取费基数及费率须按规定计取不得调整，否则按否决投标处理。</w:t>
            </w:r>
          </w:p>
          <w:p w14:paraId="6327E3F2">
            <w:pPr>
              <w:keepNext w:val="0"/>
              <w:keepLines w:val="0"/>
              <w:suppressLineNumbers w:val="0"/>
              <w:spacing w:before="0" w:beforeAutospacing="0" w:after="0" w:afterAutospacing="0" w:line="460" w:lineRule="exact"/>
              <w:ind w:left="67" w:leftChars="32" w:right="0" w:firstLine="427" w:firstLineChars="178"/>
              <w:rPr>
                <w:rFonts w:hint="eastAsia" w:ascii="宋体" w:hAnsi="宋体" w:eastAsia="宋体" w:cs="宋体"/>
                <w:sz w:val="24"/>
                <w:szCs w:val="24"/>
                <w:highlight w:val="none"/>
              </w:rPr>
            </w:pPr>
            <w:r>
              <w:rPr>
                <w:rFonts w:hint="eastAsia" w:ascii="宋体" w:hAnsi="宋体" w:eastAsia="宋体" w:cs="宋体"/>
                <w:sz w:val="24"/>
                <w:szCs w:val="24"/>
                <w:highlight w:val="none"/>
              </w:rPr>
              <w:t>十</w:t>
            </w:r>
            <w:r>
              <w:rPr>
                <w:rFonts w:hint="eastAsia" w:ascii="宋体" w:hAnsi="宋体" w:cs="宋体"/>
                <w:sz w:val="24"/>
                <w:szCs w:val="24"/>
                <w:highlight w:val="none"/>
                <w:lang w:eastAsia="zh-CN"/>
              </w:rPr>
              <w:t>六</w:t>
            </w:r>
            <w:r>
              <w:rPr>
                <w:rFonts w:hint="eastAsia" w:ascii="宋体" w:hAnsi="宋体" w:eastAsia="宋体" w:cs="宋体"/>
                <w:sz w:val="24"/>
                <w:szCs w:val="24"/>
                <w:highlight w:val="none"/>
              </w:rPr>
              <w:t>、</w:t>
            </w:r>
            <w:r>
              <w:rPr>
                <w:rFonts w:hint="eastAsia" w:ascii="宋体" w:hAnsi="宋体" w:cs="宋体"/>
                <w:b/>
                <w:bCs/>
                <w:sz w:val="24"/>
                <w:szCs w:val="24"/>
                <w:highlight w:val="none"/>
              </w:rPr>
              <w:t>投标单位在投标报价时，按照一般计税法进行报价。中标后需按规定开具增值税专用发票。若后期出现政策性税率调整，</w:t>
            </w:r>
            <w:r>
              <w:rPr>
                <w:rFonts w:hint="eastAsia" w:ascii="宋体" w:hAnsi="宋体" w:cs="宋体"/>
                <w:b/>
                <w:bCs/>
                <w:sz w:val="24"/>
                <w:szCs w:val="24"/>
                <w:highlight w:val="none"/>
                <w:lang w:eastAsia="zh-CN"/>
              </w:rPr>
              <w:t>或</w:t>
            </w:r>
            <w:r>
              <w:rPr>
                <w:rFonts w:hint="eastAsia" w:ascii="宋体" w:hAnsi="宋体" w:cs="宋体"/>
                <w:b/>
                <w:bCs/>
                <w:sz w:val="24"/>
                <w:szCs w:val="24"/>
                <w:highlight w:val="none"/>
              </w:rPr>
              <w:t>因中标单位纳税资格所开具的增值税专用发票税率与投标税率不一致的情况，最终结算时税率按照中标单位实际开具的增值税专用发票税率计取。</w:t>
            </w:r>
            <w:r>
              <w:rPr>
                <w:rFonts w:hint="eastAsia" w:ascii="宋体" w:hAnsi="宋体"/>
                <w:sz w:val="24"/>
                <w:szCs w:val="24"/>
                <w:highlight w:val="none"/>
              </w:rPr>
              <w:t>规费费率</w:t>
            </w:r>
            <w:r>
              <w:rPr>
                <w:rFonts w:ascii="宋体" w:hAnsi="宋体" w:cs="宋体"/>
                <w:sz w:val="24"/>
                <w:szCs w:val="24"/>
                <w:highlight w:val="none"/>
              </w:rPr>
              <w:t>按</w:t>
            </w:r>
            <w:r>
              <w:rPr>
                <w:rFonts w:hint="eastAsia" w:ascii="宋体" w:hAnsi="宋体" w:cs="宋体"/>
                <w:sz w:val="24"/>
                <w:szCs w:val="24"/>
                <w:highlight w:val="none"/>
              </w:rPr>
              <w:t>现行</w:t>
            </w:r>
            <w:r>
              <w:rPr>
                <w:rFonts w:ascii="宋体" w:hAnsi="宋体" w:cs="宋体"/>
                <w:sz w:val="24"/>
                <w:szCs w:val="24"/>
                <w:highlight w:val="none"/>
              </w:rPr>
              <w:t>规定计取</w:t>
            </w:r>
            <w:r>
              <w:rPr>
                <w:rFonts w:hint="eastAsia" w:ascii="宋体" w:hAnsi="宋体"/>
                <w:sz w:val="24"/>
                <w:szCs w:val="24"/>
                <w:highlight w:val="none"/>
              </w:rPr>
              <w:t>。</w:t>
            </w:r>
            <w:r>
              <w:rPr>
                <w:rFonts w:hint="eastAsia" w:ascii="宋体" w:hAnsi="宋体"/>
                <w:sz w:val="24"/>
                <w:szCs w:val="24"/>
                <w:highlight w:val="none"/>
                <w:lang w:eastAsia="zh-CN"/>
              </w:rPr>
              <w:t>工程排污费、危险作业意外伤害保险</w:t>
            </w:r>
            <w:r>
              <w:rPr>
                <w:rFonts w:hint="eastAsia" w:ascii="宋体" w:hAnsi="宋体"/>
                <w:sz w:val="24"/>
                <w:szCs w:val="24"/>
                <w:highlight w:val="none"/>
              </w:rPr>
              <w:t>在投标报价时按照现行规定费率计取，在竣工结算时，凭有关部门出具的缴费凭据按实结算（不包括违规的罚款）。</w:t>
            </w:r>
          </w:p>
          <w:p w14:paraId="77CF0ADD">
            <w:pPr>
              <w:keepNext w:val="0"/>
              <w:keepLines w:val="0"/>
              <w:suppressLineNumbers w:val="0"/>
              <w:spacing w:before="0" w:beforeAutospacing="0" w:after="0" w:afterAutospacing="0" w:line="460" w:lineRule="exact"/>
              <w:ind w:left="67" w:leftChars="32" w:right="0" w:firstLine="427" w:firstLineChars="178"/>
              <w:rPr>
                <w:rFonts w:hint="eastAsia" w:ascii="宋体" w:hAnsi="宋体"/>
                <w:sz w:val="24"/>
                <w:szCs w:val="24"/>
                <w:highlight w:val="none"/>
              </w:rPr>
            </w:pPr>
            <w:r>
              <w:rPr>
                <w:rFonts w:hint="eastAsia" w:ascii="宋体" w:hAnsi="宋体"/>
                <w:sz w:val="24"/>
                <w:szCs w:val="24"/>
                <w:highlight w:val="none"/>
                <w:lang w:eastAsia="zh-CN"/>
              </w:rPr>
              <w:t>十七</w:t>
            </w:r>
            <w:r>
              <w:rPr>
                <w:rFonts w:hint="eastAsia" w:ascii="宋体" w:hAnsi="宋体"/>
                <w:sz w:val="24"/>
                <w:szCs w:val="24"/>
                <w:highlight w:val="none"/>
              </w:rPr>
              <w:t>、投标单位在投标报价时，应综合考虑以下费用:</w:t>
            </w:r>
          </w:p>
          <w:p w14:paraId="0AA8133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（一）</w:t>
            </w:r>
            <w:r>
              <w:rPr>
                <w:rFonts w:hint="eastAsia" w:ascii="宋体" w:hAnsi="宋体" w:eastAsia="宋体" w:cs="宋体"/>
                <w:sz w:val="24"/>
                <w:szCs w:val="24"/>
                <w:highlight w:val="none"/>
              </w:rPr>
              <w:t>图纸与清单不符的以清单为准，清单未注明的以图纸为准。</w:t>
            </w:r>
          </w:p>
          <w:p w14:paraId="7C7BD6B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（二）</w:t>
            </w:r>
            <w:r>
              <w:rPr>
                <w:rFonts w:hint="eastAsia" w:ascii="宋体" w:hAnsi="宋体" w:eastAsia="宋体" w:cs="宋体"/>
                <w:sz w:val="24"/>
                <w:szCs w:val="24"/>
                <w:highlight w:val="none"/>
              </w:rPr>
              <w:t>工程量清单中的工作内容和项目特征描述，均为分部分项清单项目的主要内容。若有未列全的其他内容由投标单位按照招标文件、设计图纸、规范等资料要求综合考虑。设计及规范等资料未明确的由投标单位根据现场考察、施工经验和相关资料综合考虑。或于答疑前书面提出，在答疑时统一解决。所有分部分项工程量清单均以完成该清单项目的所有内容为准考虑到综合报价中，结算时不予调整。结算时对清单特征描述中未施工的部分予以相应的扣除。</w:t>
            </w:r>
          </w:p>
          <w:p w14:paraId="19312ED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（三）</w:t>
            </w:r>
            <w:r>
              <w:rPr>
                <w:rFonts w:hint="eastAsia" w:ascii="宋体" w:hAnsi="宋体" w:eastAsia="宋体" w:cs="宋体"/>
                <w:sz w:val="24"/>
                <w:szCs w:val="24"/>
                <w:highlight w:val="none"/>
              </w:rPr>
              <w:t>本工程的主要材料，因建设单位提出材料变更导致材料产生差价建设单位给予找补差价，但差价不再参与取费,只计取规费与税金。</w:t>
            </w:r>
          </w:p>
          <w:p w14:paraId="77B081A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rPr>
            </w:pPr>
            <w:r>
              <w:rPr>
                <w:rFonts w:hint="eastAsia" w:ascii="宋体" w:hAnsi="宋体" w:cs="宋体"/>
                <w:sz w:val="24"/>
                <w:szCs w:val="24"/>
                <w:highlight w:val="none"/>
                <w:lang w:eastAsia="zh-CN"/>
              </w:rPr>
              <w:t>（四）</w:t>
            </w:r>
            <w:r>
              <w:rPr>
                <w:rFonts w:hint="eastAsia" w:ascii="宋体" w:hAnsi="宋体" w:eastAsia="宋体" w:cs="宋体"/>
                <w:sz w:val="24"/>
                <w:szCs w:val="24"/>
                <w:highlight w:val="none"/>
              </w:rPr>
              <w:t>所有投标报价材料均应包括其采购保管费用，运输费、施工现场内外搬运费、二次倒运费、检验试验费等所有费用，并根据实际情况考虑材料的损耗率，损耗率应在“工程量清单综合单价分析表”中有明确体现。结算时不再因损耗及运距等因素而调整综合单价。</w:t>
            </w:r>
          </w:p>
          <w:p w14:paraId="1A02BE5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rPr>
            </w:pPr>
            <w:r>
              <w:rPr>
                <w:rFonts w:hint="eastAsia" w:ascii="宋体" w:hAnsi="宋体" w:cs="宋体"/>
                <w:sz w:val="24"/>
                <w:szCs w:val="24"/>
                <w:highlight w:val="none"/>
                <w:lang w:eastAsia="zh-CN"/>
              </w:rPr>
              <w:t>（</w:t>
            </w:r>
            <w:r>
              <w:rPr>
                <w:rFonts w:hint="eastAsia" w:ascii="宋体" w:hAnsi="宋体" w:cs="宋体"/>
                <w:sz w:val="24"/>
                <w:szCs w:val="24"/>
                <w:highlight w:val="none"/>
                <w:lang w:val="en-US" w:eastAsia="zh-CN"/>
              </w:rPr>
              <w:t>五</w:t>
            </w:r>
            <w:r>
              <w:rPr>
                <w:rFonts w:hint="eastAsia" w:ascii="宋体" w:hAnsi="宋体" w:cs="宋体"/>
                <w:sz w:val="24"/>
                <w:szCs w:val="24"/>
                <w:highlight w:val="none"/>
                <w:lang w:eastAsia="zh-CN"/>
              </w:rPr>
              <w:t>）</w:t>
            </w:r>
            <w:r>
              <w:rPr>
                <w:rFonts w:hint="eastAsia" w:ascii="宋体" w:hAnsi="宋体" w:eastAsia="宋体" w:cs="宋体"/>
                <w:sz w:val="24"/>
                <w:szCs w:val="24"/>
                <w:highlight w:val="none"/>
              </w:rPr>
              <w:t>投标单位对措施费用的投标报价，除工程量清单所列措施项目外，还应根据招标文件、补充招标文件的要求及自身拟订的本工程施工组织设计、施工方案以及工程现场的实际情况和投标单位的施工经验、投标单位本企业的实际情况等增列项目并报价，已单独列项的措施项目费用的报价，投标单位应充分考虑施工现场的具体情况自主报价，未单独列项的措施费用视为已包括在综合单价中。</w:t>
            </w:r>
          </w:p>
          <w:p w14:paraId="4BA96ED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rPr>
            </w:pPr>
            <w:r>
              <w:rPr>
                <w:rFonts w:hint="eastAsia" w:ascii="宋体" w:hAnsi="宋体" w:cs="宋体"/>
                <w:sz w:val="24"/>
                <w:szCs w:val="24"/>
                <w:highlight w:val="none"/>
                <w:lang w:eastAsia="zh-CN"/>
              </w:rPr>
              <w:t>（</w:t>
            </w:r>
            <w:r>
              <w:rPr>
                <w:rFonts w:hint="eastAsia" w:ascii="宋体" w:hAnsi="宋体" w:cs="宋体"/>
                <w:sz w:val="24"/>
                <w:szCs w:val="24"/>
                <w:highlight w:val="none"/>
                <w:lang w:val="en-US" w:eastAsia="zh-CN"/>
              </w:rPr>
              <w:t>六</w:t>
            </w:r>
            <w:r>
              <w:rPr>
                <w:rFonts w:hint="eastAsia" w:ascii="宋体" w:hAnsi="宋体" w:cs="宋体"/>
                <w:sz w:val="24"/>
                <w:szCs w:val="24"/>
                <w:highlight w:val="none"/>
                <w:lang w:eastAsia="zh-CN"/>
              </w:rPr>
              <w:t>）</w:t>
            </w:r>
            <w:r>
              <w:rPr>
                <w:rFonts w:hint="eastAsia" w:ascii="宋体" w:hAnsi="宋体" w:eastAsia="宋体" w:cs="宋体"/>
                <w:sz w:val="24"/>
                <w:szCs w:val="24"/>
                <w:highlight w:val="none"/>
              </w:rPr>
              <w:t>投标报价要充分考虑施工过程中不可避免的赶工期增加费，结算不予调整。</w:t>
            </w:r>
          </w:p>
          <w:p w14:paraId="4C020A7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rPr>
            </w:pPr>
            <w:r>
              <w:rPr>
                <w:rFonts w:hint="eastAsia" w:ascii="宋体" w:hAnsi="宋体" w:cs="宋体"/>
                <w:sz w:val="24"/>
                <w:szCs w:val="24"/>
                <w:highlight w:val="none"/>
                <w:lang w:eastAsia="zh-CN"/>
              </w:rPr>
              <w:t>（</w:t>
            </w:r>
            <w:r>
              <w:rPr>
                <w:rFonts w:hint="eastAsia" w:ascii="宋体" w:hAnsi="宋体" w:cs="宋体"/>
                <w:sz w:val="24"/>
                <w:szCs w:val="24"/>
                <w:highlight w:val="none"/>
                <w:lang w:val="en-US" w:eastAsia="zh-CN"/>
              </w:rPr>
              <w:t>七</w:t>
            </w:r>
            <w:r>
              <w:rPr>
                <w:rFonts w:hint="eastAsia" w:ascii="宋体" w:hAnsi="宋体" w:cs="宋体"/>
                <w:sz w:val="24"/>
                <w:szCs w:val="24"/>
                <w:highlight w:val="none"/>
                <w:lang w:eastAsia="zh-CN"/>
              </w:rPr>
              <w:t>）</w:t>
            </w:r>
            <w:r>
              <w:rPr>
                <w:rFonts w:hint="eastAsia" w:ascii="宋体" w:hAnsi="宋体" w:eastAsia="宋体" w:cs="宋体"/>
                <w:sz w:val="24"/>
                <w:szCs w:val="24"/>
                <w:highlight w:val="none"/>
              </w:rPr>
              <w:t>投标单位应根据现场实际情况，自行考虑临时设施的搭设位置，但必须符合规定。无论场内场外，结算时不再增加此部分费用。</w:t>
            </w:r>
          </w:p>
          <w:p w14:paraId="5DDFBD7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cs="宋体"/>
                <w:sz w:val="24"/>
                <w:szCs w:val="24"/>
                <w:highlight w:val="none"/>
                <w:lang w:eastAsia="zh-CN"/>
              </w:rPr>
            </w:pPr>
            <w:r>
              <w:rPr>
                <w:rFonts w:hint="eastAsia" w:ascii="宋体" w:hAnsi="宋体" w:cs="宋体"/>
                <w:sz w:val="24"/>
                <w:szCs w:val="24"/>
                <w:highlight w:val="none"/>
                <w:lang w:eastAsia="zh-CN"/>
              </w:rPr>
              <w:t>（</w:t>
            </w:r>
            <w:r>
              <w:rPr>
                <w:rFonts w:hint="eastAsia" w:ascii="宋体" w:hAnsi="宋体" w:cs="宋体"/>
                <w:sz w:val="24"/>
                <w:szCs w:val="24"/>
                <w:highlight w:val="none"/>
                <w:lang w:val="en-US" w:eastAsia="zh-CN"/>
              </w:rPr>
              <w:t>八</w:t>
            </w:r>
            <w:r>
              <w:rPr>
                <w:rFonts w:hint="eastAsia" w:ascii="宋体" w:hAnsi="宋体" w:cs="宋体"/>
                <w:sz w:val="24"/>
                <w:szCs w:val="24"/>
                <w:highlight w:val="none"/>
                <w:lang w:eastAsia="zh-CN"/>
              </w:rPr>
              <w:t>）</w:t>
            </w:r>
            <w:r>
              <w:rPr>
                <w:rFonts w:hint="eastAsia" w:ascii="宋体" w:hAnsi="宋体" w:cs="宋体"/>
                <w:b/>
                <w:bCs/>
                <w:sz w:val="24"/>
                <w:szCs w:val="24"/>
                <w:highlight w:val="none"/>
                <w:lang w:eastAsia="zh-CN"/>
              </w:rPr>
              <w:t>措施项目（一）、</w:t>
            </w:r>
            <w:r>
              <w:rPr>
                <w:rFonts w:hint="eastAsia" w:ascii="宋体" w:hAnsi="宋体" w:cs="宋体"/>
                <w:b/>
                <w:bCs/>
                <w:sz w:val="24"/>
                <w:szCs w:val="24"/>
                <w:highlight w:val="none"/>
                <w:lang w:val="en-US" w:eastAsia="zh-CN"/>
              </w:rPr>
              <w:t>措施</w:t>
            </w:r>
            <w:r>
              <w:rPr>
                <w:rFonts w:hint="eastAsia" w:ascii="宋体" w:hAnsi="宋体" w:cs="宋体"/>
                <w:b/>
                <w:bCs/>
                <w:sz w:val="24"/>
                <w:szCs w:val="24"/>
                <w:highlight w:val="none"/>
                <w:lang w:eastAsia="zh-CN"/>
              </w:rPr>
              <w:t>项目</w:t>
            </w:r>
            <w:r>
              <w:rPr>
                <w:rFonts w:hint="eastAsia" w:ascii="宋体" w:hAnsi="宋体" w:cs="宋体"/>
                <w:b/>
                <w:bCs/>
                <w:sz w:val="24"/>
                <w:szCs w:val="24"/>
                <w:highlight w:val="none"/>
                <w:lang w:val="en-US" w:eastAsia="zh-CN"/>
              </w:rPr>
              <w:t>（二）均</w:t>
            </w:r>
            <w:r>
              <w:rPr>
                <w:rFonts w:hint="eastAsia" w:ascii="宋体" w:hAnsi="宋体" w:cs="宋体"/>
                <w:b/>
                <w:bCs/>
                <w:sz w:val="24"/>
                <w:szCs w:val="24"/>
                <w:highlight w:val="none"/>
                <w:lang w:eastAsia="zh-CN"/>
              </w:rPr>
              <w:t>包干计取使用。</w:t>
            </w:r>
            <w:r>
              <w:rPr>
                <w:rFonts w:hint="eastAsia" w:ascii="宋体" w:hAnsi="宋体" w:cs="宋体"/>
                <w:sz w:val="24"/>
                <w:szCs w:val="24"/>
                <w:highlight w:val="none"/>
                <w:lang w:eastAsia="zh-CN"/>
              </w:rPr>
              <w:t>按给定的清单格式及工程量进行自主报价，填报综合单价时应考虑完成本项目（清单子目）内容所需的人工费、材料费、机械使用费、管理费、利润，并考虑与此项目有关的风险因素等一切费用，结算时不再调整。投标单位对措施费用的投标报价，除清单所列措施项目外，还可以根据招标文件、补充招标文件的要求及自身拟订的本工程施工组织设计、施工方案、工程施工经验及投标单位的实际情况等将所需产生的费用计入单价措施项目内。</w:t>
            </w:r>
          </w:p>
          <w:p w14:paraId="65141EB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cs="宋体"/>
                <w:sz w:val="24"/>
                <w:szCs w:val="24"/>
                <w:highlight w:val="none"/>
                <w:lang w:val="en-US" w:eastAsia="zh-CN"/>
              </w:rPr>
            </w:pPr>
            <w:r>
              <w:rPr>
                <w:rFonts w:hint="eastAsia" w:ascii="宋体" w:hAnsi="宋体" w:cs="宋体"/>
                <w:sz w:val="24"/>
                <w:szCs w:val="24"/>
                <w:highlight w:val="none"/>
                <w:lang w:val="en-US" w:eastAsia="zh-CN"/>
              </w:rPr>
              <w:t>十八、土建工程清单报价时，投标单位应注意:</w:t>
            </w:r>
          </w:p>
          <w:p w14:paraId="40CC1A34">
            <w:pPr>
              <w:keepNext w:val="0"/>
              <w:keepLines w:val="0"/>
              <w:pageBreakBefore w:val="0"/>
              <w:widowControl w:val="0"/>
              <w:suppressLineNumbers w:val="0"/>
              <w:tabs>
                <w:tab w:val="left" w:pos="0"/>
                <w:tab w:val="left" w:pos="630"/>
              </w:tabs>
              <w:kinsoku/>
              <w:wordWrap/>
              <w:overflowPunct/>
              <w:topLinePunct w:val="0"/>
              <w:autoSpaceDE/>
              <w:autoSpaceDN/>
              <w:bidi w:val="0"/>
              <w:adjustRightInd/>
              <w:snapToGrid/>
              <w:spacing w:before="0" w:beforeAutospacing="0" w:after="0" w:afterAutospacing="0" w:line="470" w:lineRule="exact"/>
              <w:ind w:left="0" w:leftChars="0" w:right="0" w:firstLine="480" w:firstLineChars="200"/>
              <w:textAlignment w:val="auto"/>
              <w:rPr>
                <w:rFonts w:hint="eastAsia" w:asciiTheme="majorEastAsia" w:hAnsiTheme="majorEastAsia" w:eastAsiaTheme="majorEastAsia" w:cstheme="majorEastAsia"/>
                <w:color w:val="auto"/>
                <w:sz w:val="24"/>
                <w:szCs w:val="24"/>
                <w:highlight w:val="none"/>
              </w:rPr>
            </w:pPr>
            <w:r>
              <w:rPr>
                <w:rFonts w:hint="eastAsia" w:ascii="宋体" w:hAnsi="宋体" w:eastAsia="宋体" w:cs="宋体"/>
                <w:sz w:val="24"/>
                <w:szCs w:val="24"/>
                <w:highlight w:val="none"/>
                <w:lang w:val="en-US" w:eastAsia="zh-CN"/>
              </w:rPr>
              <w:t>（一）</w:t>
            </w:r>
            <w:r>
              <w:rPr>
                <w:rFonts w:hint="eastAsia" w:asciiTheme="majorEastAsia" w:hAnsiTheme="majorEastAsia" w:eastAsiaTheme="majorEastAsia" w:cstheme="majorEastAsia"/>
                <w:color w:val="auto"/>
                <w:sz w:val="24"/>
                <w:szCs w:val="24"/>
                <w:highlight w:val="none"/>
                <w:lang w:eastAsia="zh-CN"/>
              </w:rPr>
              <w:t>土（石）方开挖均按开挖前天然密实体积计算，工程量按招标方批准的施工方案的实际开挖量。投标单位应依据批准的施工方案并结合现场实际情况综合</w:t>
            </w:r>
            <w:r>
              <w:rPr>
                <w:rFonts w:hint="eastAsia" w:asciiTheme="majorEastAsia" w:hAnsiTheme="majorEastAsia" w:eastAsiaTheme="majorEastAsia" w:cstheme="majorEastAsia"/>
                <w:color w:val="auto"/>
                <w:sz w:val="24"/>
                <w:szCs w:val="24"/>
                <w:highlight w:val="none"/>
              </w:rPr>
              <w:t>考虑开挖方式、</w:t>
            </w:r>
            <w:r>
              <w:rPr>
                <w:rFonts w:hint="eastAsia" w:asciiTheme="majorEastAsia" w:hAnsiTheme="majorEastAsia" w:eastAsiaTheme="majorEastAsia" w:cstheme="majorEastAsia"/>
                <w:color w:val="auto"/>
                <w:sz w:val="24"/>
                <w:szCs w:val="24"/>
                <w:highlight w:val="none"/>
                <w:lang w:eastAsia="zh-CN"/>
              </w:rPr>
              <w:t>人工清理基槽、</w:t>
            </w:r>
            <w:r>
              <w:rPr>
                <w:rFonts w:hint="eastAsia" w:asciiTheme="majorEastAsia" w:hAnsiTheme="majorEastAsia" w:eastAsiaTheme="majorEastAsia" w:cstheme="majorEastAsia"/>
                <w:color w:val="auto"/>
                <w:sz w:val="24"/>
                <w:szCs w:val="24"/>
                <w:highlight w:val="none"/>
              </w:rPr>
              <w:t>运输距离、运输方式</w:t>
            </w:r>
            <w:r>
              <w:rPr>
                <w:rFonts w:hint="eastAsia" w:asciiTheme="majorEastAsia" w:hAnsiTheme="majorEastAsia" w:eastAsiaTheme="majorEastAsia" w:cstheme="majorEastAsia"/>
                <w:color w:val="auto"/>
                <w:sz w:val="24"/>
                <w:szCs w:val="24"/>
                <w:highlight w:val="none"/>
                <w:lang w:eastAsia="zh-CN"/>
              </w:rPr>
              <w:t>、</w:t>
            </w:r>
            <w:r>
              <w:rPr>
                <w:rFonts w:hint="eastAsia" w:asciiTheme="majorEastAsia" w:hAnsiTheme="majorEastAsia" w:eastAsiaTheme="majorEastAsia" w:cstheme="majorEastAsia"/>
                <w:color w:val="auto"/>
                <w:sz w:val="24"/>
                <w:szCs w:val="24"/>
                <w:highlight w:val="none"/>
              </w:rPr>
              <w:t>二次或多次倒运等因素</w:t>
            </w:r>
            <w:r>
              <w:rPr>
                <w:rFonts w:hint="eastAsia" w:asciiTheme="majorEastAsia" w:hAnsiTheme="majorEastAsia" w:eastAsiaTheme="majorEastAsia" w:cstheme="majorEastAsia"/>
                <w:color w:val="auto"/>
                <w:sz w:val="24"/>
                <w:szCs w:val="24"/>
                <w:highlight w:val="none"/>
                <w:lang w:eastAsia="zh-CN"/>
              </w:rPr>
              <w:t>，</w:t>
            </w:r>
            <w:r>
              <w:rPr>
                <w:rFonts w:hint="eastAsia" w:asciiTheme="majorEastAsia" w:hAnsiTheme="majorEastAsia" w:eastAsiaTheme="majorEastAsia" w:cstheme="majorEastAsia"/>
                <w:color w:val="auto"/>
                <w:sz w:val="24"/>
                <w:szCs w:val="24"/>
                <w:highlight w:val="none"/>
              </w:rPr>
              <w:t>以及相关的安全文明环保</w:t>
            </w:r>
            <w:r>
              <w:rPr>
                <w:rFonts w:hint="eastAsia" w:asciiTheme="majorEastAsia" w:hAnsiTheme="majorEastAsia" w:eastAsiaTheme="majorEastAsia" w:cstheme="majorEastAsia"/>
                <w:color w:val="auto"/>
                <w:sz w:val="24"/>
                <w:szCs w:val="24"/>
                <w:highlight w:val="none"/>
                <w:lang w:eastAsia="zh-CN"/>
              </w:rPr>
              <w:t>费</w:t>
            </w:r>
            <w:r>
              <w:rPr>
                <w:rFonts w:hint="eastAsia" w:asciiTheme="majorEastAsia" w:hAnsiTheme="majorEastAsia" w:eastAsiaTheme="majorEastAsia" w:cstheme="majorEastAsia"/>
                <w:color w:val="auto"/>
                <w:sz w:val="24"/>
                <w:szCs w:val="24"/>
                <w:highlight w:val="none"/>
              </w:rPr>
              <w:t>等</w:t>
            </w:r>
            <w:r>
              <w:rPr>
                <w:rFonts w:hint="eastAsia" w:asciiTheme="majorEastAsia" w:hAnsiTheme="majorEastAsia" w:eastAsiaTheme="majorEastAsia" w:cstheme="majorEastAsia"/>
                <w:color w:val="auto"/>
                <w:sz w:val="24"/>
                <w:szCs w:val="24"/>
                <w:highlight w:val="none"/>
                <w:lang w:eastAsia="zh-CN"/>
              </w:rPr>
              <w:t>相关</w:t>
            </w:r>
            <w:r>
              <w:rPr>
                <w:rFonts w:hint="eastAsia" w:asciiTheme="majorEastAsia" w:hAnsiTheme="majorEastAsia" w:eastAsiaTheme="majorEastAsia" w:cstheme="majorEastAsia"/>
                <w:color w:val="auto"/>
                <w:sz w:val="24"/>
                <w:szCs w:val="24"/>
                <w:highlight w:val="none"/>
              </w:rPr>
              <w:t>费用均包括在清单报价中。</w:t>
            </w:r>
          </w:p>
          <w:p w14:paraId="1B6E487A">
            <w:pPr>
              <w:keepNext w:val="0"/>
              <w:keepLines w:val="0"/>
              <w:pageBreakBefore w:val="0"/>
              <w:widowControl w:val="0"/>
              <w:suppressLineNumbers w:val="0"/>
              <w:tabs>
                <w:tab w:val="left" w:pos="0"/>
                <w:tab w:val="left" w:pos="630"/>
              </w:tabs>
              <w:kinsoku/>
              <w:wordWrap/>
              <w:overflowPunct/>
              <w:topLinePunct w:val="0"/>
              <w:autoSpaceDE/>
              <w:autoSpaceDN/>
              <w:bidi w:val="0"/>
              <w:adjustRightInd/>
              <w:snapToGrid/>
              <w:spacing w:before="0" w:beforeAutospacing="0" w:after="0" w:afterAutospacing="0" w:line="470" w:lineRule="exact"/>
              <w:ind w:left="0" w:leftChars="0" w:right="0" w:firstLine="480" w:firstLineChars="200"/>
              <w:textAlignment w:val="auto"/>
              <w:rPr>
                <w:rFonts w:hint="eastAsia" w:asciiTheme="majorEastAsia" w:hAnsiTheme="majorEastAsia" w:eastAsiaTheme="majorEastAsia" w:cstheme="majorEastAsia"/>
                <w:color w:val="auto"/>
                <w:sz w:val="24"/>
                <w:szCs w:val="24"/>
                <w:highlight w:val="none"/>
                <w:lang w:eastAsia="zh-CN"/>
              </w:rPr>
            </w:pPr>
            <w:r>
              <w:rPr>
                <w:rFonts w:hint="eastAsia" w:ascii="宋体" w:hAnsi="宋体" w:eastAsia="宋体" w:cs="宋体"/>
                <w:sz w:val="24"/>
                <w:szCs w:val="24"/>
                <w:highlight w:val="none"/>
                <w:lang w:val="en-US" w:eastAsia="zh-CN"/>
              </w:rPr>
              <w:t>（</w:t>
            </w:r>
            <w:r>
              <w:rPr>
                <w:rFonts w:hint="eastAsia" w:ascii="宋体" w:hAnsi="宋体" w:cs="宋体"/>
                <w:sz w:val="24"/>
                <w:szCs w:val="24"/>
                <w:highlight w:val="none"/>
                <w:lang w:val="en-US" w:eastAsia="zh-CN"/>
              </w:rPr>
              <w:t>二</w:t>
            </w:r>
            <w:r>
              <w:rPr>
                <w:rFonts w:hint="eastAsia" w:ascii="宋体" w:hAnsi="宋体" w:eastAsia="宋体" w:cs="宋体"/>
                <w:sz w:val="24"/>
                <w:szCs w:val="24"/>
                <w:highlight w:val="none"/>
                <w:lang w:val="en-US" w:eastAsia="zh-CN"/>
              </w:rPr>
              <w:t>）</w:t>
            </w:r>
            <w:r>
              <w:rPr>
                <w:rFonts w:hint="eastAsia" w:asciiTheme="majorEastAsia" w:hAnsiTheme="majorEastAsia" w:eastAsiaTheme="majorEastAsia" w:cstheme="majorEastAsia"/>
                <w:color w:val="auto"/>
                <w:sz w:val="24"/>
                <w:szCs w:val="24"/>
                <w:highlight w:val="none"/>
                <w:lang w:val="en-US" w:eastAsia="zh-CN"/>
              </w:rPr>
              <w:t>土石方外运运距增加报价中应包含外运、弃置等费用，结算不再调整</w:t>
            </w:r>
            <w:r>
              <w:rPr>
                <w:rFonts w:hint="eastAsia" w:asciiTheme="majorEastAsia" w:hAnsiTheme="majorEastAsia" w:eastAsiaTheme="majorEastAsia" w:cstheme="majorEastAsia"/>
                <w:color w:val="auto"/>
                <w:sz w:val="24"/>
                <w:szCs w:val="24"/>
                <w:highlight w:val="none"/>
              </w:rPr>
              <w:t>。</w:t>
            </w:r>
          </w:p>
          <w:p w14:paraId="7F1D84ED">
            <w:pPr>
              <w:keepNext w:val="0"/>
              <w:keepLines w:val="0"/>
              <w:pageBreakBefore w:val="0"/>
              <w:widowControl w:val="0"/>
              <w:suppressLineNumbers w:val="0"/>
              <w:tabs>
                <w:tab w:val="left" w:pos="0"/>
                <w:tab w:val="left" w:pos="630"/>
              </w:tabs>
              <w:kinsoku/>
              <w:wordWrap/>
              <w:overflowPunct/>
              <w:topLinePunct w:val="0"/>
              <w:autoSpaceDE/>
              <w:autoSpaceDN/>
              <w:bidi w:val="0"/>
              <w:adjustRightInd/>
              <w:snapToGrid/>
              <w:spacing w:before="0" w:beforeAutospacing="0" w:after="0" w:afterAutospacing="0" w:line="470" w:lineRule="exact"/>
              <w:ind w:left="0" w:leftChars="0" w:right="0" w:firstLine="480" w:firstLineChars="200"/>
              <w:textAlignment w:val="auto"/>
              <w:rPr>
                <w:rFonts w:hint="eastAsia" w:asciiTheme="majorEastAsia" w:hAnsiTheme="majorEastAsia" w:eastAsiaTheme="majorEastAsia" w:cstheme="majorEastAsia"/>
                <w:color w:val="auto"/>
                <w:sz w:val="24"/>
                <w:szCs w:val="24"/>
                <w:highlight w:val="none"/>
                <w:lang w:val="en-US" w:eastAsia="zh-CN"/>
              </w:rPr>
            </w:pPr>
            <w:r>
              <w:rPr>
                <w:rFonts w:hint="eastAsia" w:ascii="宋体" w:hAnsi="宋体" w:eastAsia="宋体" w:cs="宋体"/>
                <w:sz w:val="24"/>
                <w:szCs w:val="24"/>
                <w:highlight w:val="none"/>
                <w:lang w:val="en-US" w:eastAsia="zh-CN"/>
              </w:rPr>
              <w:t>（</w:t>
            </w:r>
            <w:r>
              <w:rPr>
                <w:rFonts w:hint="eastAsia" w:ascii="宋体" w:hAnsi="宋体" w:cs="宋体"/>
                <w:sz w:val="24"/>
                <w:szCs w:val="24"/>
                <w:highlight w:val="none"/>
                <w:lang w:val="en-US" w:eastAsia="zh-CN"/>
              </w:rPr>
              <w:t>三</w:t>
            </w:r>
            <w:r>
              <w:rPr>
                <w:rFonts w:hint="eastAsia" w:ascii="宋体" w:hAnsi="宋体" w:eastAsia="宋体" w:cs="宋体"/>
                <w:sz w:val="24"/>
                <w:szCs w:val="24"/>
                <w:highlight w:val="none"/>
                <w:lang w:val="en-US" w:eastAsia="zh-CN"/>
              </w:rPr>
              <w:t>）</w:t>
            </w:r>
            <w:r>
              <w:rPr>
                <w:rFonts w:hint="eastAsia" w:asciiTheme="majorEastAsia" w:hAnsiTheme="majorEastAsia" w:eastAsiaTheme="majorEastAsia" w:cstheme="majorEastAsia"/>
                <w:color w:val="auto"/>
                <w:sz w:val="24"/>
                <w:szCs w:val="24"/>
                <w:highlight w:val="none"/>
                <w:lang w:val="en-US" w:eastAsia="zh-CN"/>
              </w:rPr>
              <w:t>投标单位挖土（石）方以及回填的最终标高必须符合招标人的要求，因施工方（或专业队伍）自身原因导致回填后的最终标高高于招标图纸中标高，重复挖土的费用报价中综合考虑。</w:t>
            </w:r>
          </w:p>
          <w:p w14:paraId="603A0C98">
            <w:pPr>
              <w:keepNext w:val="0"/>
              <w:keepLines w:val="0"/>
              <w:pageBreakBefore w:val="0"/>
              <w:widowControl w:val="0"/>
              <w:suppressLineNumbers w:val="0"/>
              <w:tabs>
                <w:tab w:val="left" w:pos="0"/>
                <w:tab w:val="left" w:pos="630"/>
              </w:tabs>
              <w:kinsoku/>
              <w:wordWrap/>
              <w:overflowPunct/>
              <w:topLinePunct w:val="0"/>
              <w:autoSpaceDE/>
              <w:autoSpaceDN/>
              <w:bidi w:val="0"/>
              <w:adjustRightInd/>
              <w:snapToGrid/>
              <w:spacing w:before="0" w:beforeAutospacing="0" w:after="0" w:afterAutospacing="0" w:line="470" w:lineRule="exact"/>
              <w:ind w:left="0" w:leftChars="0" w:right="0" w:firstLine="480" w:firstLineChars="200"/>
              <w:textAlignment w:val="auto"/>
              <w:rPr>
                <w:rFonts w:hint="default" w:ascii="宋体" w:hAnsi="宋体" w:cs="宋体"/>
                <w:sz w:val="24"/>
                <w:szCs w:val="24"/>
                <w:highlight w:val="yellow"/>
                <w:lang w:val="en-US" w:eastAsia="zh-CN"/>
              </w:rPr>
            </w:pPr>
            <w:r>
              <w:rPr>
                <w:rFonts w:hint="eastAsia" w:ascii="宋体" w:hAnsi="宋体" w:eastAsia="宋体" w:cs="宋体"/>
                <w:sz w:val="24"/>
                <w:szCs w:val="24"/>
                <w:highlight w:val="none"/>
                <w:lang w:val="en-US" w:eastAsia="zh-CN"/>
              </w:rPr>
              <w:t>（</w:t>
            </w:r>
            <w:r>
              <w:rPr>
                <w:rFonts w:hint="eastAsia" w:ascii="宋体" w:hAnsi="宋体" w:cs="宋体"/>
                <w:sz w:val="24"/>
                <w:szCs w:val="24"/>
                <w:highlight w:val="none"/>
                <w:lang w:val="en-US" w:eastAsia="zh-CN"/>
              </w:rPr>
              <w:t>四</w:t>
            </w:r>
            <w:r>
              <w:rPr>
                <w:rFonts w:hint="eastAsia" w:ascii="宋体" w:hAnsi="宋体" w:eastAsia="宋体" w:cs="宋体"/>
                <w:sz w:val="24"/>
                <w:szCs w:val="24"/>
                <w:highlight w:val="none"/>
                <w:lang w:val="en-US" w:eastAsia="zh-CN"/>
              </w:rPr>
              <w:t>）</w:t>
            </w:r>
            <w:r>
              <w:rPr>
                <w:rFonts w:hint="eastAsia" w:asciiTheme="majorEastAsia" w:hAnsiTheme="majorEastAsia" w:eastAsiaTheme="majorEastAsia" w:cstheme="majorEastAsia"/>
                <w:color w:val="auto"/>
                <w:sz w:val="24"/>
                <w:szCs w:val="24"/>
                <w:highlight w:val="none"/>
                <w:lang w:val="en-US" w:eastAsia="zh-CN"/>
              </w:rPr>
              <w:t>土方回填的报价应包含取土、运输、场区内的堆放、倒运、运输、沉实或夯填等费用，根据施工组织设计并结合现场实际情况综合考虑运输距离、运输方式及回填方</w:t>
            </w:r>
            <w:r>
              <w:rPr>
                <w:rFonts w:hint="eastAsia" w:asciiTheme="majorEastAsia" w:hAnsiTheme="majorEastAsia" w:eastAsiaTheme="majorEastAsia" w:cstheme="majorEastAsia"/>
                <w:sz w:val="24"/>
                <w:szCs w:val="24"/>
                <w:highlight w:val="none"/>
                <w:lang w:val="en-US" w:eastAsia="zh-CN"/>
              </w:rPr>
              <w:t>式等相关因素。</w:t>
            </w:r>
          </w:p>
          <w:p w14:paraId="2A4BCBA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cs="宋体"/>
                <w:sz w:val="24"/>
                <w:szCs w:val="24"/>
                <w:highlight w:val="none"/>
                <w:lang w:eastAsia="zh-CN"/>
              </w:rPr>
            </w:pPr>
            <w:r>
              <w:rPr>
                <w:rFonts w:hint="eastAsia" w:ascii="宋体" w:hAnsi="宋体" w:cs="宋体"/>
                <w:sz w:val="24"/>
                <w:szCs w:val="24"/>
                <w:highlight w:val="none"/>
                <w:lang w:eastAsia="zh-CN"/>
              </w:rPr>
              <w:t>十</w:t>
            </w:r>
            <w:r>
              <w:rPr>
                <w:rFonts w:hint="eastAsia" w:ascii="宋体" w:hAnsi="宋体" w:cs="宋体"/>
                <w:sz w:val="24"/>
                <w:szCs w:val="24"/>
                <w:highlight w:val="none"/>
                <w:lang w:val="en-US" w:eastAsia="zh-CN"/>
              </w:rPr>
              <w:t>九</w:t>
            </w:r>
            <w:r>
              <w:rPr>
                <w:rFonts w:hint="eastAsia" w:ascii="宋体" w:hAnsi="宋体" w:cs="宋体"/>
                <w:sz w:val="24"/>
                <w:szCs w:val="24"/>
                <w:highlight w:val="none"/>
                <w:lang w:eastAsia="zh-CN"/>
              </w:rPr>
              <w:t>、安装工程清单报价时，投标单位应注意:</w:t>
            </w:r>
          </w:p>
          <w:p w14:paraId="3442226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（一）分部分项清单中设备安装项目，报价时综合单价中只考虑安装费用，设备费用在设备汇总表中列出，最终列入投标总价中。</w:t>
            </w:r>
          </w:p>
          <w:p w14:paraId="7428C31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w:t>
            </w:r>
            <w:r>
              <w:rPr>
                <w:rFonts w:hint="eastAsia" w:ascii="宋体" w:hAnsi="宋体" w:cs="宋体"/>
                <w:sz w:val="24"/>
                <w:szCs w:val="24"/>
                <w:highlight w:val="none"/>
                <w:lang w:val="en-US" w:eastAsia="zh-CN"/>
              </w:rPr>
              <w:t>二</w:t>
            </w:r>
            <w:r>
              <w:rPr>
                <w:rFonts w:hint="eastAsia" w:ascii="宋体" w:hAnsi="宋体" w:eastAsia="宋体" w:cs="宋体"/>
                <w:sz w:val="24"/>
                <w:szCs w:val="24"/>
                <w:highlight w:val="none"/>
                <w:lang w:val="en-US" w:eastAsia="zh-CN"/>
              </w:rPr>
              <w:t>）电气穿线管安装中包含支架及其刷油防腐、套管、接线盒（箱）、过线盒、开关盒、接地跨接、剔槽修复等与之有关的工作内容，报价时综合考虑在相应的清单中，结算时不再增加此部分费用。</w:t>
            </w:r>
          </w:p>
          <w:p w14:paraId="3AE2B0E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w:t>
            </w:r>
            <w:r>
              <w:rPr>
                <w:rFonts w:hint="eastAsia" w:ascii="宋体" w:hAnsi="宋体" w:cs="宋体"/>
                <w:sz w:val="24"/>
                <w:szCs w:val="24"/>
                <w:highlight w:val="none"/>
                <w:lang w:val="en-US" w:eastAsia="zh-CN"/>
              </w:rPr>
              <w:t>三</w:t>
            </w:r>
            <w:r>
              <w:rPr>
                <w:rFonts w:hint="eastAsia" w:ascii="宋体" w:hAnsi="宋体" w:eastAsia="宋体" w:cs="宋体"/>
                <w:sz w:val="24"/>
                <w:szCs w:val="24"/>
                <w:highlight w:val="none"/>
                <w:lang w:val="en-US" w:eastAsia="zh-CN"/>
              </w:rPr>
              <w:t>）线缆敷设工程量是按设计图示的就位后净尺寸计算（包括水平、垂直走向）。</w:t>
            </w:r>
            <w:r>
              <w:rPr>
                <w:rFonts w:hint="eastAsia" w:ascii="宋体" w:hAnsi="宋体" w:cs="宋体"/>
                <w:sz w:val="24"/>
                <w:szCs w:val="24"/>
                <w:highlight w:val="none"/>
                <w:lang w:val="en-US" w:eastAsia="zh-CN"/>
              </w:rPr>
              <w:t>线</w:t>
            </w:r>
            <w:r>
              <w:rPr>
                <w:rFonts w:hint="eastAsia" w:ascii="宋体" w:hAnsi="宋体" w:eastAsia="宋体" w:cs="宋体"/>
                <w:sz w:val="24"/>
                <w:szCs w:val="24"/>
                <w:highlight w:val="none"/>
                <w:lang w:val="en-US" w:eastAsia="zh-CN"/>
              </w:rPr>
              <w:t>缆各处预留长度和波形余度及损耗均考虑在综合单价中。电缆的终端头亦考虑在电缆敷设综合单价中，电缆敷设时不论采用何种连接方式综合单价均不</w:t>
            </w:r>
            <w:r>
              <w:rPr>
                <w:rFonts w:hint="eastAsia" w:ascii="宋体" w:hAnsi="宋体" w:cs="宋体"/>
                <w:sz w:val="24"/>
                <w:szCs w:val="24"/>
                <w:highlight w:val="none"/>
                <w:lang w:val="en-US" w:eastAsia="zh-CN"/>
              </w:rPr>
              <w:t>作</w:t>
            </w:r>
            <w:r>
              <w:rPr>
                <w:rFonts w:hint="eastAsia" w:ascii="宋体" w:hAnsi="宋体" w:eastAsia="宋体" w:cs="宋体"/>
                <w:sz w:val="24"/>
                <w:szCs w:val="24"/>
                <w:highlight w:val="none"/>
                <w:lang w:val="en-US" w:eastAsia="zh-CN"/>
              </w:rPr>
              <w:t>调整。</w:t>
            </w:r>
          </w:p>
          <w:p w14:paraId="729CF70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w:t>
            </w:r>
            <w:r>
              <w:rPr>
                <w:rFonts w:hint="eastAsia" w:ascii="宋体" w:hAnsi="宋体" w:cs="宋体"/>
                <w:sz w:val="24"/>
                <w:szCs w:val="24"/>
                <w:highlight w:val="none"/>
                <w:lang w:val="en-US" w:eastAsia="zh-CN"/>
              </w:rPr>
              <w:t>四</w:t>
            </w:r>
            <w:r>
              <w:rPr>
                <w:rFonts w:hint="eastAsia" w:ascii="宋体" w:hAnsi="宋体" w:eastAsia="宋体" w:cs="宋体"/>
                <w:sz w:val="24"/>
                <w:szCs w:val="24"/>
                <w:highlight w:val="none"/>
                <w:lang w:val="en-US" w:eastAsia="zh-CN"/>
              </w:rPr>
              <w:t>）施工单位应充分仔细阅读图纸，综合考虑高层、管井、暗室、吊顶、不同安装高度、安装位置等施工中的相关费用，结算时不论采用何种方案，均不得调整。</w:t>
            </w:r>
          </w:p>
          <w:p w14:paraId="2BEBFE0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w:t>
            </w:r>
            <w:r>
              <w:rPr>
                <w:rFonts w:hint="eastAsia" w:ascii="宋体" w:hAnsi="宋体" w:cs="宋体"/>
                <w:sz w:val="24"/>
                <w:szCs w:val="24"/>
                <w:highlight w:val="none"/>
                <w:lang w:val="en-US" w:eastAsia="zh-CN"/>
              </w:rPr>
              <w:t>五</w:t>
            </w:r>
            <w:r>
              <w:rPr>
                <w:rFonts w:hint="eastAsia" w:ascii="宋体" w:hAnsi="宋体" w:eastAsia="宋体" w:cs="宋体"/>
                <w:sz w:val="24"/>
                <w:szCs w:val="24"/>
                <w:highlight w:val="none"/>
                <w:lang w:val="en-US" w:eastAsia="zh-CN"/>
              </w:rPr>
              <w:t>）所有设备安装清单项中均包括整体安装、支架制安、接线、单体调试、减震措施等与之相关的所有工作内容。设备本体调试、系统调试及联动调试，应依据施工规范及技术要求在相应项中进行报价。有清单子目的单独报价，没有单列清单项目的应综合考虑在相应的清单报价中，结算时不再增加此类费用。</w:t>
            </w:r>
          </w:p>
          <w:p w14:paraId="600EE6F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w:t>
            </w:r>
            <w:r>
              <w:rPr>
                <w:rFonts w:hint="eastAsia" w:ascii="宋体" w:hAnsi="宋体" w:cs="宋体"/>
                <w:sz w:val="24"/>
                <w:szCs w:val="24"/>
                <w:highlight w:val="none"/>
                <w:lang w:val="en-US" w:eastAsia="zh-CN"/>
              </w:rPr>
              <w:t>六</w:t>
            </w:r>
            <w:r>
              <w:rPr>
                <w:rFonts w:hint="eastAsia" w:ascii="宋体" w:hAnsi="宋体" w:eastAsia="宋体" w:cs="宋体"/>
                <w:sz w:val="24"/>
                <w:szCs w:val="24"/>
                <w:highlight w:val="none"/>
                <w:lang w:val="en-US" w:eastAsia="zh-CN"/>
              </w:rPr>
              <w:t>）各系统里面的设备调试、软件调试等调试费用均含在相应的综合单价中，结算时不再增加此部分费用（清单单独列项的除外）。</w:t>
            </w:r>
          </w:p>
          <w:p w14:paraId="3800967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w:t>
            </w:r>
            <w:r>
              <w:rPr>
                <w:rFonts w:hint="eastAsia" w:ascii="宋体" w:hAnsi="宋体" w:cs="宋体"/>
                <w:sz w:val="24"/>
                <w:szCs w:val="24"/>
                <w:highlight w:val="none"/>
                <w:lang w:val="en-US" w:eastAsia="zh-CN"/>
              </w:rPr>
              <w:t>七</w:t>
            </w:r>
            <w:r>
              <w:rPr>
                <w:rFonts w:hint="eastAsia" w:ascii="宋体" w:hAnsi="宋体" w:eastAsia="宋体" w:cs="宋体"/>
                <w:sz w:val="24"/>
                <w:szCs w:val="24"/>
                <w:highlight w:val="none"/>
                <w:lang w:val="en-US" w:eastAsia="zh-CN"/>
              </w:rPr>
              <w:t>）弱电系统里面光纤熔接等费用均包含在相应的清单报价中，结算时不再增加此部分费用。（清单单独列项的除外）。</w:t>
            </w:r>
          </w:p>
          <w:p w14:paraId="408854C3">
            <w:pPr>
              <w:keepNext w:val="0"/>
              <w:keepLines w:val="0"/>
              <w:pageBreakBefore w:val="0"/>
              <w:widowControl w:val="0"/>
              <w:suppressLineNumbers w:val="0"/>
              <w:shd w:val="clear" w:fill="FFFFFF" w:themeFill="background1"/>
              <w:kinsoku/>
              <w:wordWrap/>
              <w:overflowPunct/>
              <w:topLinePunct w:val="0"/>
              <w:autoSpaceDE/>
              <w:autoSpaceDN/>
              <w:bidi w:val="0"/>
              <w:adjustRightInd/>
              <w:snapToGrid/>
              <w:spacing w:before="0" w:beforeAutospacing="0" w:after="0" w:afterAutospacing="0" w:line="530" w:lineRule="exact"/>
              <w:ind w:left="0" w:right="0" w:firstLine="480" w:firstLineChars="200"/>
              <w:textAlignment w:val="auto"/>
              <w:rPr>
                <w:rFonts w:hint="default" w:ascii="宋体" w:hAnsi="宋体" w:cs="宋体"/>
                <w:sz w:val="24"/>
                <w:szCs w:val="24"/>
                <w:highlight w:val="none"/>
                <w:lang w:val="en-US" w:eastAsia="zh-CN"/>
              </w:rPr>
            </w:pPr>
            <w:r>
              <w:rPr>
                <w:rFonts w:hint="eastAsia" w:ascii="宋体" w:hAnsi="宋体" w:cs="宋体"/>
                <w:sz w:val="24"/>
                <w:szCs w:val="24"/>
                <w:highlight w:val="none"/>
                <w:lang w:val="en-US" w:eastAsia="zh-CN"/>
              </w:rPr>
              <w:t>二十、工程主要材料和设备及相关配件的价格应在主要材料表和设备表中详细列明品牌、规格、型号、单价。</w:t>
            </w:r>
          </w:p>
          <w:p w14:paraId="4BA716C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right="0" w:firstLine="480" w:firstLineChars="200"/>
              <w:textAlignment w:val="auto"/>
              <w:rPr>
                <w:rFonts w:hint="eastAsia" w:ascii="宋体" w:hAnsi="宋体" w:eastAsia="宋体" w:cs="宋体"/>
                <w:sz w:val="24"/>
                <w:szCs w:val="24"/>
                <w:highlight w:val="none"/>
                <w:lang w:eastAsia="zh-CN"/>
              </w:rPr>
            </w:pPr>
            <w:r>
              <w:rPr>
                <w:rFonts w:hint="eastAsia" w:ascii="宋体" w:hAnsi="宋体" w:cs="宋体"/>
                <w:sz w:val="24"/>
                <w:szCs w:val="24"/>
                <w:highlight w:val="none"/>
                <w:lang w:eastAsia="zh-CN"/>
              </w:rPr>
              <w:t>二十</w:t>
            </w:r>
            <w:r>
              <w:rPr>
                <w:rFonts w:hint="eastAsia" w:ascii="宋体" w:hAnsi="宋体" w:cs="宋体"/>
                <w:sz w:val="24"/>
                <w:szCs w:val="24"/>
                <w:highlight w:val="none"/>
                <w:lang w:val="en-US" w:eastAsia="zh-CN"/>
              </w:rPr>
              <w:t>一</w:t>
            </w:r>
            <w:r>
              <w:rPr>
                <w:rFonts w:hint="eastAsia" w:ascii="宋体" w:hAnsi="宋体" w:eastAsia="宋体" w:cs="宋体"/>
                <w:sz w:val="24"/>
                <w:szCs w:val="24"/>
                <w:highlight w:val="none"/>
              </w:rPr>
              <w:t>、特别说明：</w:t>
            </w:r>
          </w:p>
          <w:p w14:paraId="2087E5D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30" w:lineRule="exact"/>
              <w:ind w:left="0" w:leftChars="0" w:right="0" w:firstLine="480" w:firstLineChars="200"/>
              <w:textAlignment w:val="auto"/>
              <w:rPr>
                <w:rFonts w:hint="eastAsia" w:ascii="宋体" w:hAnsi="宋体" w:eastAsia="宋体" w:cs="宋体"/>
                <w:sz w:val="28"/>
                <w:szCs w:val="28"/>
                <w:highlight w:val="none"/>
              </w:rPr>
            </w:pPr>
            <w:r>
              <w:rPr>
                <w:rFonts w:hint="eastAsia" w:ascii="宋体" w:hAnsi="宋体" w:eastAsia="宋体" w:cs="宋体"/>
                <w:sz w:val="24"/>
                <w:szCs w:val="24"/>
                <w:highlight w:val="none"/>
              </w:rPr>
              <w:t>关于补充清单工程量计算规则说明：补充清单子目项目特征内有工程量计算规则说明的，按清单项目特征说明的计算规则计算工程量，补充清单子目项目特征无工程量计算规则说明的，均按</w:t>
            </w:r>
            <w:r>
              <w:rPr>
                <w:rFonts w:hint="eastAsia" w:ascii="宋体" w:hAnsi="宋体" w:cs="宋体"/>
                <w:sz w:val="24"/>
                <w:szCs w:val="24"/>
                <w:highlight w:val="none"/>
                <w:lang w:val="en-US" w:eastAsia="zh-CN"/>
              </w:rPr>
              <w:t>2003山东省</w:t>
            </w:r>
            <w:r>
              <w:rPr>
                <w:rFonts w:hint="eastAsia" w:ascii="宋体" w:hAnsi="宋体" w:eastAsia="宋体" w:cs="宋体"/>
                <w:sz w:val="24"/>
                <w:szCs w:val="24"/>
                <w:highlight w:val="none"/>
              </w:rPr>
              <w:t>消耗量定额计算规则计算工程量。</w:t>
            </w:r>
          </w:p>
        </w:tc>
      </w:tr>
    </w:tbl>
    <w:p w14:paraId="218C7EFD"/>
    <w:sectPr>
      <w:headerReference r:id="rId3" w:type="default"/>
      <w:pgSz w:w="11906" w:h="16838"/>
      <w:pgMar w:top="1043" w:right="1134" w:bottom="1028" w:left="124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84F053">
    <w:pPr>
      <w:jc w:val="center"/>
      <w:rPr>
        <w:rFonts w:ascii="宋体" w:hAnsi="宋体"/>
        <w:b/>
        <w:sz w:val="44"/>
        <w:szCs w:val="44"/>
      </w:rPr>
    </w:pPr>
    <w:r>
      <w:rPr>
        <w:rFonts w:hint="eastAsia" w:ascii="宋体" w:hAnsi="宋体"/>
        <w:b/>
        <w:sz w:val="44"/>
        <w:szCs w:val="44"/>
      </w:rPr>
      <w:t>总  说  明</w:t>
    </w:r>
  </w:p>
  <w:p w14:paraId="4F9D3E96">
    <w:pPr>
      <w:ind w:left="1200" w:hanging="2200" w:hangingChars="500"/>
    </w:pPr>
    <w:r>
      <w:rPr>
        <w:sz w:val="44"/>
      </w:rPr>
      <mc:AlternateContent>
        <mc:Choice Requires="wps">
          <w:drawing>
            <wp:anchor distT="0" distB="0" distL="114300" distR="114300" simplePos="0" relativeHeight="251659264" behindDoc="0" locked="0" layoutInCell="1" allowOverlap="1">
              <wp:simplePos x="0" y="0"/>
              <wp:positionH relativeFrom="margin">
                <wp:posOffset>5216525</wp:posOffset>
              </wp:positionH>
              <wp:positionV relativeFrom="paragraph">
                <wp:posOffset>25400</wp:posOffset>
              </wp:positionV>
              <wp:extent cx="963295" cy="167005"/>
              <wp:effectExtent l="0" t="0" r="0" b="0"/>
              <wp:wrapNone/>
              <wp:docPr id="1" name="文本框 3"/>
              <wp:cNvGraphicFramePr/>
              <a:graphic xmlns:a="http://schemas.openxmlformats.org/drawingml/2006/main">
                <a:graphicData uri="http://schemas.microsoft.com/office/word/2010/wordprocessingShape">
                  <wps:wsp>
                    <wps:cNvSpPr txBox="1"/>
                    <wps:spPr>
                      <a:xfrm>
                        <a:off x="0" y="0"/>
                        <a:ext cx="963295" cy="167005"/>
                      </a:xfrm>
                      <a:prstGeom prst="rect">
                        <a:avLst/>
                      </a:prstGeom>
                      <a:noFill/>
                      <a:ln w="9525">
                        <a:noFill/>
                      </a:ln>
                      <a:effectLst/>
                    </wps:spPr>
                    <wps:txbx>
                      <w:txbxContent>
                        <w:p w14:paraId="42906CD4">
                          <w:pPr>
                            <w:pStyle w:val="4"/>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r>
                            <w:rPr>
                              <w:rFonts w:hint="eastAsia"/>
                            </w:rPr>
                            <w:t xml:space="preserve"> 页 共 </w:t>
                          </w:r>
                          <w:r>
                            <w:fldChar w:fldCharType="begin"/>
                          </w:r>
                          <w:r>
                            <w:instrText xml:space="preserve"> NUMPAGES  \* MERGEFORMAT </w:instrText>
                          </w:r>
                          <w:r>
                            <w:fldChar w:fldCharType="separate"/>
                          </w:r>
                          <w:r>
                            <w:t>1</w:t>
                          </w:r>
                          <w:r>
                            <w:fldChar w:fldCharType="end"/>
                          </w:r>
                          <w:r>
                            <w:rPr>
                              <w:rFonts w:hint="eastAsia"/>
                            </w:rPr>
                            <w:t xml:space="preserve"> 页</w:t>
                          </w:r>
                        </w:p>
                      </w:txbxContent>
                    </wps:txbx>
                    <wps:bodyPr wrap="square" lIns="0" tIns="0" rIns="0" bIns="0" upright="1">
                      <a:noAutofit/>
                    </wps:bodyPr>
                  </wps:wsp>
                </a:graphicData>
              </a:graphic>
            </wp:anchor>
          </w:drawing>
        </mc:Choice>
        <mc:Fallback>
          <w:pict>
            <v:shape id="文本框 3" o:spid="_x0000_s1026" o:spt="202" type="#_x0000_t202" style="position:absolute;left:0pt;margin-left:410.75pt;margin-top:2pt;height:13.15pt;width:75.85pt;mso-position-horizontal-relative:margin;z-index:251659264;mso-width-relative:page;mso-height-relative:page;" filled="f" stroked="f" coordsize="21600,21600" o:gfxdata="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AQ4imz2AAAAAgBAAAPAAAA&#10;AAAAAAEAIAAAACIAAABkcnMvZG93bnJldi54bWxQSwECFAAUAAAACACHTuJAi5lZR9wBAACwAwAA&#10;DgAAAAAAAAABACAAAAAnAQAAZHJzL2Uyb0RvYy54bWxQSwUGAAAAAAYABgBZAQAAdQUAAAAA&#10;">
              <v:fill on="f" focussize="0,0"/>
              <v:stroke on="f"/>
              <v:imagedata o:title=""/>
              <o:lock v:ext="edit" aspectratio="f"/>
              <v:textbox inset="0mm,0mm,0mm,0mm">
                <w:txbxContent>
                  <w:p w14:paraId="42906CD4">
                    <w:pPr>
                      <w:pStyle w:val="4"/>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r>
                      <w:rPr>
                        <w:rFonts w:hint="eastAsia"/>
                      </w:rPr>
                      <w:t xml:space="preserve"> 页 共 </w:t>
                    </w:r>
                    <w:r>
                      <w:fldChar w:fldCharType="begin"/>
                    </w:r>
                    <w:r>
                      <w:instrText xml:space="preserve"> NUMPAGES  \* MERGEFORMAT </w:instrText>
                    </w:r>
                    <w:r>
                      <w:fldChar w:fldCharType="separate"/>
                    </w:r>
                    <w:r>
                      <w:t>1</w:t>
                    </w:r>
                    <w:r>
                      <w:fldChar w:fldCharType="end"/>
                    </w:r>
                    <w:r>
                      <w:rPr>
                        <w:rFonts w:hint="eastAsia"/>
                      </w:rPr>
                      <w:t xml:space="preserve"> 页</w:t>
                    </w:r>
                  </w:p>
                </w:txbxContent>
              </v:textbox>
            </v:shape>
          </w:pict>
        </mc:Fallback>
      </mc:AlternateContent>
    </w:r>
    <w:r>
      <w:rPr>
        <w:rFonts w:hint="eastAsia" w:ascii="宋体" w:hAnsi="宋体"/>
        <w:sz w:val="24"/>
      </w:rPr>
      <w:t>工程名称：</w:t>
    </w:r>
    <w:r>
      <w:rPr>
        <w:rFonts w:hint="eastAsia"/>
        <w:sz w:val="21"/>
        <w:szCs w:val="21"/>
      </w:rPr>
      <w:t>数字经济产业园A1#厂房升级改造智能化工程</w:t>
    </w:r>
    <w:r>
      <w:rPr>
        <w:rFonts w:hint="eastAsia" w:ascii="宋体" w:hAnsi="宋体" w:cs="宋体"/>
        <w:sz w:val="24"/>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VjYzU2ZWY0ZGViZGYwMDJiOWE0OGFlZWM1YTMzYzgifQ=="/>
  </w:docVars>
  <w:rsids>
    <w:rsidRoot w:val="4F336E3C"/>
    <w:rsid w:val="00027BFA"/>
    <w:rsid w:val="00094ABF"/>
    <w:rsid w:val="000A54A2"/>
    <w:rsid w:val="000A6FE5"/>
    <w:rsid w:val="000B19D8"/>
    <w:rsid w:val="000B558B"/>
    <w:rsid w:val="000E6311"/>
    <w:rsid w:val="0011264E"/>
    <w:rsid w:val="00141099"/>
    <w:rsid w:val="0014356A"/>
    <w:rsid w:val="00152DBA"/>
    <w:rsid w:val="0015565E"/>
    <w:rsid w:val="00181D01"/>
    <w:rsid w:val="00187E5A"/>
    <w:rsid w:val="00190DB9"/>
    <w:rsid w:val="001C430B"/>
    <w:rsid w:val="001C6997"/>
    <w:rsid w:val="001E5B00"/>
    <w:rsid w:val="001F2AE4"/>
    <w:rsid w:val="002016E5"/>
    <w:rsid w:val="00222A90"/>
    <w:rsid w:val="0023350E"/>
    <w:rsid w:val="00237EAB"/>
    <w:rsid w:val="00261364"/>
    <w:rsid w:val="002A38F0"/>
    <w:rsid w:val="002D06B3"/>
    <w:rsid w:val="002E2699"/>
    <w:rsid w:val="002F67F5"/>
    <w:rsid w:val="002F6D07"/>
    <w:rsid w:val="00334051"/>
    <w:rsid w:val="00353A9C"/>
    <w:rsid w:val="0035650C"/>
    <w:rsid w:val="0036090D"/>
    <w:rsid w:val="003669DA"/>
    <w:rsid w:val="00367AD5"/>
    <w:rsid w:val="00387425"/>
    <w:rsid w:val="003915C9"/>
    <w:rsid w:val="003B14E9"/>
    <w:rsid w:val="003B7394"/>
    <w:rsid w:val="003C3505"/>
    <w:rsid w:val="003D7C04"/>
    <w:rsid w:val="003F3EBA"/>
    <w:rsid w:val="003F56B9"/>
    <w:rsid w:val="0040145C"/>
    <w:rsid w:val="0040245C"/>
    <w:rsid w:val="00412C43"/>
    <w:rsid w:val="00443D21"/>
    <w:rsid w:val="00444F07"/>
    <w:rsid w:val="00475759"/>
    <w:rsid w:val="00480B26"/>
    <w:rsid w:val="004B786F"/>
    <w:rsid w:val="004C151D"/>
    <w:rsid w:val="004D2EC0"/>
    <w:rsid w:val="004E0D5A"/>
    <w:rsid w:val="004F11AE"/>
    <w:rsid w:val="004F1735"/>
    <w:rsid w:val="00511520"/>
    <w:rsid w:val="00524A32"/>
    <w:rsid w:val="00530E44"/>
    <w:rsid w:val="00533CE4"/>
    <w:rsid w:val="00541773"/>
    <w:rsid w:val="0054434A"/>
    <w:rsid w:val="00560AFC"/>
    <w:rsid w:val="00580514"/>
    <w:rsid w:val="00590242"/>
    <w:rsid w:val="005D147E"/>
    <w:rsid w:val="006029A2"/>
    <w:rsid w:val="006029D8"/>
    <w:rsid w:val="00615DFC"/>
    <w:rsid w:val="00664EE8"/>
    <w:rsid w:val="006A303B"/>
    <w:rsid w:val="006A3E03"/>
    <w:rsid w:val="006A672B"/>
    <w:rsid w:val="006A72C7"/>
    <w:rsid w:val="006C3623"/>
    <w:rsid w:val="006D68BC"/>
    <w:rsid w:val="006F3462"/>
    <w:rsid w:val="006F7C81"/>
    <w:rsid w:val="007016F6"/>
    <w:rsid w:val="00772367"/>
    <w:rsid w:val="007A21D9"/>
    <w:rsid w:val="0080289B"/>
    <w:rsid w:val="00805854"/>
    <w:rsid w:val="0086544B"/>
    <w:rsid w:val="00883EAB"/>
    <w:rsid w:val="00891D72"/>
    <w:rsid w:val="00895DE6"/>
    <w:rsid w:val="008966A0"/>
    <w:rsid w:val="008A2305"/>
    <w:rsid w:val="008A5BB5"/>
    <w:rsid w:val="008B30A9"/>
    <w:rsid w:val="008D6922"/>
    <w:rsid w:val="008F4F6A"/>
    <w:rsid w:val="009047CE"/>
    <w:rsid w:val="009112A2"/>
    <w:rsid w:val="0093015E"/>
    <w:rsid w:val="00937210"/>
    <w:rsid w:val="00942308"/>
    <w:rsid w:val="00944A5D"/>
    <w:rsid w:val="009510BC"/>
    <w:rsid w:val="009533A7"/>
    <w:rsid w:val="00956477"/>
    <w:rsid w:val="009643A5"/>
    <w:rsid w:val="009733D0"/>
    <w:rsid w:val="00981A6D"/>
    <w:rsid w:val="00986A3C"/>
    <w:rsid w:val="009B289E"/>
    <w:rsid w:val="009C1FF1"/>
    <w:rsid w:val="009D325D"/>
    <w:rsid w:val="009F025E"/>
    <w:rsid w:val="00A0747F"/>
    <w:rsid w:val="00A07683"/>
    <w:rsid w:val="00A250C0"/>
    <w:rsid w:val="00A369DB"/>
    <w:rsid w:val="00A53EF2"/>
    <w:rsid w:val="00A56190"/>
    <w:rsid w:val="00A741D8"/>
    <w:rsid w:val="00A76E3F"/>
    <w:rsid w:val="00A84285"/>
    <w:rsid w:val="00A93F99"/>
    <w:rsid w:val="00AC296F"/>
    <w:rsid w:val="00AC6963"/>
    <w:rsid w:val="00AD25F1"/>
    <w:rsid w:val="00AE4E67"/>
    <w:rsid w:val="00AF1398"/>
    <w:rsid w:val="00B22A05"/>
    <w:rsid w:val="00B2578B"/>
    <w:rsid w:val="00B735ED"/>
    <w:rsid w:val="00B804BF"/>
    <w:rsid w:val="00BA45AD"/>
    <w:rsid w:val="00BA59A5"/>
    <w:rsid w:val="00BF69AE"/>
    <w:rsid w:val="00C001C4"/>
    <w:rsid w:val="00C03310"/>
    <w:rsid w:val="00C17395"/>
    <w:rsid w:val="00C322FC"/>
    <w:rsid w:val="00C33B44"/>
    <w:rsid w:val="00C70B2F"/>
    <w:rsid w:val="00C95791"/>
    <w:rsid w:val="00CC11AD"/>
    <w:rsid w:val="00CD2E93"/>
    <w:rsid w:val="00CD688C"/>
    <w:rsid w:val="00CE5AA1"/>
    <w:rsid w:val="00CF311F"/>
    <w:rsid w:val="00D554DA"/>
    <w:rsid w:val="00D720B4"/>
    <w:rsid w:val="00D878A5"/>
    <w:rsid w:val="00D921E8"/>
    <w:rsid w:val="00DC0781"/>
    <w:rsid w:val="00DC5CAF"/>
    <w:rsid w:val="00DC6374"/>
    <w:rsid w:val="00DE0071"/>
    <w:rsid w:val="00DE11C9"/>
    <w:rsid w:val="00DE6AE5"/>
    <w:rsid w:val="00E0452B"/>
    <w:rsid w:val="00E33726"/>
    <w:rsid w:val="00E42BF2"/>
    <w:rsid w:val="00E43C84"/>
    <w:rsid w:val="00E654D2"/>
    <w:rsid w:val="00E7253E"/>
    <w:rsid w:val="00E97C82"/>
    <w:rsid w:val="00EA3980"/>
    <w:rsid w:val="00EA53C1"/>
    <w:rsid w:val="00ED4C4D"/>
    <w:rsid w:val="00EE0B12"/>
    <w:rsid w:val="00F05A71"/>
    <w:rsid w:val="00F136C2"/>
    <w:rsid w:val="00F13ED6"/>
    <w:rsid w:val="00F24A80"/>
    <w:rsid w:val="00F253C9"/>
    <w:rsid w:val="00F37DEA"/>
    <w:rsid w:val="00F657DC"/>
    <w:rsid w:val="00F735A5"/>
    <w:rsid w:val="00F95485"/>
    <w:rsid w:val="00FC61B3"/>
    <w:rsid w:val="00FE4EF6"/>
    <w:rsid w:val="00FE5271"/>
    <w:rsid w:val="01165D26"/>
    <w:rsid w:val="013A45D9"/>
    <w:rsid w:val="013F509B"/>
    <w:rsid w:val="014A6AE4"/>
    <w:rsid w:val="01520B08"/>
    <w:rsid w:val="01A66B90"/>
    <w:rsid w:val="01DB7ED5"/>
    <w:rsid w:val="02664B5D"/>
    <w:rsid w:val="027D2D3A"/>
    <w:rsid w:val="02810D87"/>
    <w:rsid w:val="02AE0D8F"/>
    <w:rsid w:val="02B44473"/>
    <w:rsid w:val="03070B87"/>
    <w:rsid w:val="03235901"/>
    <w:rsid w:val="03470A66"/>
    <w:rsid w:val="03514599"/>
    <w:rsid w:val="03625FBA"/>
    <w:rsid w:val="038A570F"/>
    <w:rsid w:val="039E4008"/>
    <w:rsid w:val="03AE0D1C"/>
    <w:rsid w:val="03E56822"/>
    <w:rsid w:val="03FA10A6"/>
    <w:rsid w:val="043B5984"/>
    <w:rsid w:val="04670727"/>
    <w:rsid w:val="047D2CCC"/>
    <w:rsid w:val="049D1E28"/>
    <w:rsid w:val="04A557F4"/>
    <w:rsid w:val="04BD29A3"/>
    <w:rsid w:val="04E23620"/>
    <w:rsid w:val="04EA1B9E"/>
    <w:rsid w:val="053733FD"/>
    <w:rsid w:val="056621AB"/>
    <w:rsid w:val="05712C97"/>
    <w:rsid w:val="061752E9"/>
    <w:rsid w:val="062F41D5"/>
    <w:rsid w:val="0664493D"/>
    <w:rsid w:val="06A839B7"/>
    <w:rsid w:val="06DF63DC"/>
    <w:rsid w:val="06EC6E8D"/>
    <w:rsid w:val="07030DD2"/>
    <w:rsid w:val="070F128D"/>
    <w:rsid w:val="072616CC"/>
    <w:rsid w:val="07390969"/>
    <w:rsid w:val="075C6562"/>
    <w:rsid w:val="07BA51E4"/>
    <w:rsid w:val="07DC0D92"/>
    <w:rsid w:val="07FB4238"/>
    <w:rsid w:val="08126C09"/>
    <w:rsid w:val="08162C7E"/>
    <w:rsid w:val="0833785E"/>
    <w:rsid w:val="085F059B"/>
    <w:rsid w:val="08611EA6"/>
    <w:rsid w:val="088B691A"/>
    <w:rsid w:val="092D578C"/>
    <w:rsid w:val="094F489A"/>
    <w:rsid w:val="098614EC"/>
    <w:rsid w:val="0990731B"/>
    <w:rsid w:val="09A709D1"/>
    <w:rsid w:val="09E758D8"/>
    <w:rsid w:val="09EE0207"/>
    <w:rsid w:val="0A184539"/>
    <w:rsid w:val="0A262D6D"/>
    <w:rsid w:val="0A3403BE"/>
    <w:rsid w:val="0A7C782E"/>
    <w:rsid w:val="0A8B2416"/>
    <w:rsid w:val="0A957F7B"/>
    <w:rsid w:val="0AB84E97"/>
    <w:rsid w:val="0B45687B"/>
    <w:rsid w:val="0B4C288C"/>
    <w:rsid w:val="0B705C84"/>
    <w:rsid w:val="0BBC29AD"/>
    <w:rsid w:val="0BDA1FC5"/>
    <w:rsid w:val="0BDE71B0"/>
    <w:rsid w:val="0BDE7929"/>
    <w:rsid w:val="0BF33C73"/>
    <w:rsid w:val="0C0E7E79"/>
    <w:rsid w:val="0C785A50"/>
    <w:rsid w:val="0C860598"/>
    <w:rsid w:val="0CDD0B35"/>
    <w:rsid w:val="0D001985"/>
    <w:rsid w:val="0D264FB8"/>
    <w:rsid w:val="0D2D7E24"/>
    <w:rsid w:val="0DA23814"/>
    <w:rsid w:val="0E1179AC"/>
    <w:rsid w:val="0E2F78AF"/>
    <w:rsid w:val="0E343608"/>
    <w:rsid w:val="0E636391"/>
    <w:rsid w:val="0E7D0045"/>
    <w:rsid w:val="0E7D6CF8"/>
    <w:rsid w:val="0ECD7B9B"/>
    <w:rsid w:val="0F224D4B"/>
    <w:rsid w:val="0F3871AE"/>
    <w:rsid w:val="0F4F48CE"/>
    <w:rsid w:val="0F5C6675"/>
    <w:rsid w:val="0F602DAA"/>
    <w:rsid w:val="0FC429DC"/>
    <w:rsid w:val="0FC5213C"/>
    <w:rsid w:val="100B338C"/>
    <w:rsid w:val="10194E92"/>
    <w:rsid w:val="10302EB4"/>
    <w:rsid w:val="10477D1A"/>
    <w:rsid w:val="10741386"/>
    <w:rsid w:val="10B55B26"/>
    <w:rsid w:val="10CD5C36"/>
    <w:rsid w:val="10D240CA"/>
    <w:rsid w:val="10EB1D11"/>
    <w:rsid w:val="113B78FB"/>
    <w:rsid w:val="1167172A"/>
    <w:rsid w:val="116F1EF0"/>
    <w:rsid w:val="11706FC5"/>
    <w:rsid w:val="11EB76E5"/>
    <w:rsid w:val="11F02F74"/>
    <w:rsid w:val="121F4D90"/>
    <w:rsid w:val="122D09D6"/>
    <w:rsid w:val="1231245E"/>
    <w:rsid w:val="124A1166"/>
    <w:rsid w:val="12526363"/>
    <w:rsid w:val="125943D2"/>
    <w:rsid w:val="135648E5"/>
    <w:rsid w:val="137F23C2"/>
    <w:rsid w:val="1398312C"/>
    <w:rsid w:val="13A24DEC"/>
    <w:rsid w:val="13AC024E"/>
    <w:rsid w:val="13C16B85"/>
    <w:rsid w:val="13D854CF"/>
    <w:rsid w:val="14091310"/>
    <w:rsid w:val="14423DE3"/>
    <w:rsid w:val="144D027A"/>
    <w:rsid w:val="14E27EA8"/>
    <w:rsid w:val="152836C1"/>
    <w:rsid w:val="153D7F1F"/>
    <w:rsid w:val="15532EB7"/>
    <w:rsid w:val="156D5B23"/>
    <w:rsid w:val="15FF3A53"/>
    <w:rsid w:val="16590FA7"/>
    <w:rsid w:val="166F4FD4"/>
    <w:rsid w:val="16A93834"/>
    <w:rsid w:val="17035E6F"/>
    <w:rsid w:val="174D7B9F"/>
    <w:rsid w:val="177464F2"/>
    <w:rsid w:val="17AB3457"/>
    <w:rsid w:val="17C30514"/>
    <w:rsid w:val="17D43780"/>
    <w:rsid w:val="17DE2DEA"/>
    <w:rsid w:val="18071B4C"/>
    <w:rsid w:val="1839223B"/>
    <w:rsid w:val="184501E3"/>
    <w:rsid w:val="185F158E"/>
    <w:rsid w:val="18713CBF"/>
    <w:rsid w:val="18887969"/>
    <w:rsid w:val="18B91CF0"/>
    <w:rsid w:val="18D272C1"/>
    <w:rsid w:val="18D52EBD"/>
    <w:rsid w:val="18E32D1F"/>
    <w:rsid w:val="19E5756F"/>
    <w:rsid w:val="19E71034"/>
    <w:rsid w:val="19FC2AD9"/>
    <w:rsid w:val="1A1620FA"/>
    <w:rsid w:val="1A357594"/>
    <w:rsid w:val="1AAA406A"/>
    <w:rsid w:val="1AB460A5"/>
    <w:rsid w:val="1ACC6D76"/>
    <w:rsid w:val="1AE80089"/>
    <w:rsid w:val="1B133761"/>
    <w:rsid w:val="1B4F231A"/>
    <w:rsid w:val="1B5B7A3D"/>
    <w:rsid w:val="1B5E16E6"/>
    <w:rsid w:val="1B7B21C3"/>
    <w:rsid w:val="1B83474F"/>
    <w:rsid w:val="1B8D411E"/>
    <w:rsid w:val="1BA37088"/>
    <w:rsid w:val="1BBA7C08"/>
    <w:rsid w:val="1C5E3887"/>
    <w:rsid w:val="1C692F88"/>
    <w:rsid w:val="1C6D7A7A"/>
    <w:rsid w:val="1CAE4512"/>
    <w:rsid w:val="1CDF1C2E"/>
    <w:rsid w:val="1D20572E"/>
    <w:rsid w:val="1D240302"/>
    <w:rsid w:val="1D381874"/>
    <w:rsid w:val="1DCD5DBE"/>
    <w:rsid w:val="1E09262E"/>
    <w:rsid w:val="1E130D48"/>
    <w:rsid w:val="1E254DD5"/>
    <w:rsid w:val="1EAE0919"/>
    <w:rsid w:val="1EC04BA4"/>
    <w:rsid w:val="1EDD50C5"/>
    <w:rsid w:val="1F097BB0"/>
    <w:rsid w:val="1F0E3776"/>
    <w:rsid w:val="1F7E1038"/>
    <w:rsid w:val="1F997315"/>
    <w:rsid w:val="1FD0233B"/>
    <w:rsid w:val="1FF4119A"/>
    <w:rsid w:val="20534DBB"/>
    <w:rsid w:val="20C57765"/>
    <w:rsid w:val="21362230"/>
    <w:rsid w:val="21461C37"/>
    <w:rsid w:val="21524ED3"/>
    <w:rsid w:val="2153266F"/>
    <w:rsid w:val="216210F4"/>
    <w:rsid w:val="21623520"/>
    <w:rsid w:val="216A7612"/>
    <w:rsid w:val="21755FB2"/>
    <w:rsid w:val="21A01CBB"/>
    <w:rsid w:val="21EA6550"/>
    <w:rsid w:val="224D747B"/>
    <w:rsid w:val="225504C3"/>
    <w:rsid w:val="2258292C"/>
    <w:rsid w:val="227759B5"/>
    <w:rsid w:val="228A08FD"/>
    <w:rsid w:val="22964C58"/>
    <w:rsid w:val="229E630E"/>
    <w:rsid w:val="22CB791F"/>
    <w:rsid w:val="234D2803"/>
    <w:rsid w:val="236C4C74"/>
    <w:rsid w:val="236E06AA"/>
    <w:rsid w:val="23B85F4A"/>
    <w:rsid w:val="23C27F4D"/>
    <w:rsid w:val="241111A1"/>
    <w:rsid w:val="24515B58"/>
    <w:rsid w:val="24B61744"/>
    <w:rsid w:val="24CA7739"/>
    <w:rsid w:val="24E40053"/>
    <w:rsid w:val="25261673"/>
    <w:rsid w:val="253A3610"/>
    <w:rsid w:val="253F77A6"/>
    <w:rsid w:val="25B5416D"/>
    <w:rsid w:val="260C15B6"/>
    <w:rsid w:val="26467763"/>
    <w:rsid w:val="264A51F6"/>
    <w:rsid w:val="268D2477"/>
    <w:rsid w:val="26E83F6D"/>
    <w:rsid w:val="275414E9"/>
    <w:rsid w:val="275E5D0F"/>
    <w:rsid w:val="27771514"/>
    <w:rsid w:val="27BF5359"/>
    <w:rsid w:val="27D01BFF"/>
    <w:rsid w:val="28594A28"/>
    <w:rsid w:val="28722A91"/>
    <w:rsid w:val="28925FBC"/>
    <w:rsid w:val="28952514"/>
    <w:rsid w:val="28C31515"/>
    <w:rsid w:val="29151B5B"/>
    <w:rsid w:val="293D2A84"/>
    <w:rsid w:val="29405AB2"/>
    <w:rsid w:val="29407B84"/>
    <w:rsid w:val="29A064E8"/>
    <w:rsid w:val="29C62DD3"/>
    <w:rsid w:val="29EE7652"/>
    <w:rsid w:val="2A0612AA"/>
    <w:rsid w:val="2A100B24"/>
    <w:rsid w:val="2A3004CC"/>
    <w:rsid w:val="2A4121AA"/>
    <w:rsid w:val="2A507EA2"/>
    <w:rsid w:val="2A510138"/>
    <w:rsid w:val="2A5A011A"/>
    <w:rsid w:val="2A763EAF"/>
    <w:rsid w:val="2AB01CBF"/>
    <w:rsid w:val="2ABA5365"/>
    <w:rsid w:val="2ABE78F8"/>
    <w:rsid w:val="2B1745A6"/>
    <w:rsid w:val="2B87706E"/>
    <w:rsid w:val="2BE70756"/>
    <w:rsid w:val="2C302D8F"/>
    <w:rsid w:val="2CB14883"/>
    <w:rsid w:val="2CE571FA"/>
    <w:rsid w:val="2CED3B6E"/>
    <w:rsid w:val="2CF21157"/>
    <w:rsid w:val="2CF35CBA"/>
    <w:rsid w:val="2D795138"/>
    <w:rsid w:val="2DB4786B"/>
    <w:rsid w:val="2E127560"/>
    <w:rsid w:val="2E751113"/>
    <w:rsid w:val="2ED97A85"/>
    <w:rsid w:val="2F2013F9"/>
    <w:rsid w:val="2F3E2FB3"/>
    <w:rsid w:val="2F471420"/>
    <w:rsid w:val="2F4B493D"/>
    <w:rsid w:val="2F5E6388"/>
    <w:rsid w:val="2F7F74D1"/>
    <w:rsid w:val="2F960DA8"/>
    <w:rsid w:val="2F9677DA"/>
    <w:rsid w:val="2FCA349F"/>
    <w:rsid w:val="2FD6556D"/>
    <w:rsid w:val="2FE67878"/>
    <w:rsid w:val="2FF43C43"/>
    <w:rsid w:val="30301380"/>
    <w:rsid w:val="305478ED"/>
    <w:rsid w:val="307B0A10"/>
    <w:rsid w:val="307F02F3"/>
    <w:rsid w:val="30887536"/>
    <w:rsid w:val="30912DC1"/>
    <w:rsid w:val="309471A9"/>
    <w:rsid w:val="30CB6DD6"/>
    <w:rsid w:val="31416E57"/>
    <w:rsid w:val="31E55B9F"/>
    <w:rsid w:val="320E4C6B"/>
    <w:rsid w:val="32232993"/>
    <w:rsid w:val="32464464"/>
    <w:rsid w:val="327A29B8"/>
    <w:rsid w:val="327A795F"/>
    <w:rsid w:val="329437E6"/>
    <w:rsid w:val="329A2708"/>
    <w:rsid w:val="32A00762"/>
    <w:rsid w:val="32A97926"/>
    <w:rsid w:val="3339620F"/>
    <w:rsid w:val="338B0B00"/>
    <w:rsid w:val="33C46DDA"/>
    <w:rsid w:val="34256CE3"/>
    <w:rsid w:val="34646053"/>
    <w:rsid w:val="3495423E"/>
    <w:rsid w:val="34AC4957"/>
    <w:rsid w:val="34CB2C8E"/>
    <w:rsid w:val="35420A98"/>
    <w:rsid w:val="355C033E"/>
    <w:rsid w:val="357C3122"/>
    <w:rsid w:val="35816985"/>
    <w:rsid w:val="358A541D"/>
    <w:rsid w:val="35952602"/>
    <w:rsid w:val="35AB4F70"/>
    <w:rsid w:val="35AE6170"/>
    <w:rsid w:val="35CE1971"/>
    <w:rsid w:val="35D17ECC"/>
    <w:rsid w:val="35E42620"/>
    <w:rsid w:val="35EB5C31"/>
    <w:rsid w:val="35ED32FF"/>
    <w:rsid w:val="362848B8"/>
    <w:rsid w:val="362D2FFE"/>
    <w:rsid w:val="36C055B8"/>
    <w:rsid w:val="36C87429"/>
    <w:rsid w:val="36FF219F"/>
    <w:rsid w:val="37056723"/>
    <w:rsid w:val="370C22E3"/>
    <w:rsid w:val="37133783"/>
    <w:rsid w:val="378C2740"/>
    <w:rsid w:val="37A839F0"/>
    <w:rsid w:val="37BA5DFD"/>
    <w:rsid w:val="37E148D1"/>
    <w:rsid w:val="37F83717"/>
    <w:rsid w:val="380D37B8"/>
    <w:rsid w:val="38293DC6"/>
    <w:rsid w:val="384A0603"/>
    <w:rsid w:val="385C2479"/>
    <w:rsid w:val="38C00B76"/>
    <w:rsid w:val="39147A73"/>
    <w:rsid w:val="39171404"/>
    <w:rsid w:val="399E1B89"/>
    <w:rsid w:val="39B05532"/>
    <w:rsid w:val="39CB52D2"/>
    <w:rsid w:val="39CC496A"/>
    <w:rsid w:val="3A342C2A"/>
    <w:rsid w:val="3A784CBD"/>
    <w:rsid w:val="3ABA6C94"/>
    <w:rsid w:val="3B2B4908"/>
    <w:rsid w:val="3B3E03A8"/>
    <w:rsid w:val="3B3F6BCF"/>
    <w:rsid w:val="3B436CFE"/>
    <w:rsid w:val="3B857008"/>
    <w:rsid w:val="3BAA4281"/>
    <w:rsid w:val="3BEE482F"/>
    <w:rsid w:val="3C1A6E02"/>
    <w:rsid w:val="3C484462"/>
    <w:rsid w:val="3CB514FE"/>
    <w:rsid w:val="3D452F77"/>
    <w:rsid w:val="3D491322"/>
    <w:rsid w:val="3D8561A7"/>
    <w:rsid w:val="3D8805D8"/>
    <w:rsid w:val="3D911C13"/>
    <w:rsid w:val="3DCA1F9B"/>
    <w:rsid w:val="3DCB0F38"/>
    <w:rsid w:val="3DD27E91"/>
    <w:rsid w:val="3E1C31D9"/>
    <w:rsid w:val="3E500F0D"/>
    <w:rsid w:val="3E67050A"/>
    <w:rsid w:val="3E8D3BAA"/>
    <w:rsid w:val="3EC000E1"/>
    <w:rsid w:val="3F510FF8"/>
    <w:rsid w:val="3F7C1824"/>
    <w:rsid w:val="3F8D2F59"/>
    <w:rsid w:val="401F2ECA"/>
    <w:rsid w:val="403168AD"/>
    <w:rsid w:val="403D5B2C"/>
    <w:rsid w:val="40D67913"/>
    <w:rsid w:val="412142FF"/>
    <w:rsid w:val="413F2C76"/>
    <w:rsid w:val="41770CEE"/>
    <w:rsid w:val="41A716D9"/>
    <w:rsid w:val="41F146AB"/>
    <w:rsid w:val="421204AA"/>
    <w:rsid w:val="42500D42"/>
    <w:rsid w:val="427C39CF"/>
    <w:rsid w:val="42BA2C8C"/>
    <w:rsid w:val="42D05144"/>
    <w:rsid w:val="42F07CC8"/>
    <w:rsid w:val="430E1956"/>
    <w:rsid w:val="4414513E"/>
    <w:rsid w:val="441D7912"/>
    <w:rsid w:val="44486BB8"/>
    <w:rsid w:val="445552E9"/>
    <w:rsid w:val="448C05DF"/>
    <w:rsid w:val="449C1C7C"/>
    <w:rsid w:val="44E071C6"/>
    <w:rsid w:val="456045C0"/>
    <w:rsid w:val="456F5912"/>
    <w:rsid w:val="45A25FA2"/>
    <w:rsid w:val="45B81F55"/>
    <w:rsid w:val="45D852AB"/>
    <w:rsid w:val="45DC30F5"/>
    <w:rsid w:val="463604FF"/>
    <w:rsid w:val="464B0F4B"/>
    <w:rsid w:val="46BF534C"/>
    <w:rsid w:val="46C874E8"/>
    <w:rsid w:val="46E748D9"/>
    <w:rsid w:val="46FB6DB7"/>
    <w:rsid w:val="46FE3665"/>
    <w:rsid w:val="4711008A"/>
    <w:rsid w:val="477E24BD"/>
    <w:rsid w:val="4796575B"/>
    <w:rsid w:val="47D562E1"/>
    <w:rsid w:val="47E36062"/>
    <w:rsid w:val="48C55AA6"/>
    <w:rsid w:val="48F574D4"/>
    <w:rsid w:val="48FD3F1E"/>
    <w:rsid w:val="4962322A"/>
    <w:rsid w:val="49852828"/>
    <w:rsid w:val="49A403AD"/>
    <w:rsid w:val="49CA3130"/>
    <w:rsid w:val="49CD6BC9"/>
    <w:rsid w:val="49E576E1"/>
    <w:rsid w:val="4A0209FF"/>
    <w:rsid w:val="4A0D4676"/>
    <w:rsid w:val="4A585140"/>
    <w:rsid w:val="4A6E7AE4"/>
    <w:rsid w:val="4B287DD0"/>
    <w:rsid w:val="4B611696"/>
    <w:rsid w:val="4B716B7D"/>
    <w:rsid w:val="4BD57DC1"/>
    <w:rsid w:val="4BE7146D"/>
    <w:rsid w:val="4BEE2817"/>
    <w:rsid w:val="4C727866"/>
    <w:rsid w:val="4CB07E81"/>
    <w:rsid w:val="4CC1775F"/>
    <w:rsid w:val="4D2D66F2"/>
    <w:rsid w:val="4D6F45E4"/>
    <w:rsid w:val="4D932079"/>
    <w:rsid w:val="4DCF6FBA"/>
    <w:rsid w:val="4E167E86"/>
    <w:rsid w:val="4E2A1E24"/>
    <w:rsid w:val="4E2A75ED"/>
    <w:rsid w:val="4E4B2C8F"/>
    <w:rsid w:val="4EDF00AD"/>
    <w:rsid w:val="4EE35842"/>
    <w:rsid w:val="4F336E3C"/>
    <w:rsid w:val="4F3E7C93"/>
    <w:rsid w:val="4F545416"/>
    <w:rsid w:val="4FA92B71"/>
    <w:rsid w:val="50166955"/>
    <w:rsid w:val="50320181"/>
    <w:rsid w:val="50C007EA"/>
    <w:rsid w:val="51014520"/>
    <w:rsid w:val="510179DE"/>
    <w:rsid w:val="512947D3"/>
    <w:rsid w:val="512E1FB3"/>
    <w:rsid w:val="51320B05"/>
    <w:rsid w:val="5136522B"/>
    <w:rsid w:val="516C3A15"/>
    <w:rsid w:val="51920E45"/>
    <w:rsid w:val="51E87C2F"/>
    <w:rsid w:val="52323E50"/>
    <w:rsid w:val="529B26EB"/>
    <w:rsid w:val="52C71967"/>
    <w:rsid w:val="5304357D"/>
    <w:rsid w:val="531442E2"/>
    <w:rsid w:val="533B277C"/>
    <w:rsid w:val="534963CD"/>
    <w:rsid w:val="53644165"/>
    <w:rsid w:val="539603BB"/>
    <w:rsid w:val="539A650E"/>
    <w:rsid w:val="53DA4F34"/>
    <w:rsid w:val="53FC3DF4"/>
    <w:rsid w:val="540E61EF"/>
    <w:rsid w:val="54107A70"/>
    <w:rsid w:val="54241B73"/>
    <w:rsid w:val="549D5FD9"/>
    <w:rsid w:val="549D6597"/>
    <w:rsid w:val="55295FE6"/>
    <w:rsid w:val="5532100D"/>
    <w:rsid w:val="55770F00"/>
    <w:rsid w:val="55797199"/>
    <w:rsid w:val="55AB06A5"/>
    <w:rsid w:val="55B56D20"/>
    <w:rsid w:val="56003784"/>
    <w:rsid w:val="56145195"/>
    <w:rsid w:val="56C12838"/>
    <w:rsid w:val="57321FFA"/>
    <w:rsid w:val="578C4397"/>
    <w:rsid w:val="57B11DED"/>
    <w:rsid w:val="57C71FEE"/>
    <w:rsid w:val="580F187B"/>
    <w:rsid w:val="584510FB"/>
    <w:rsid w:val="584E7903"/>
    <w:rsid w:val="58875F10"/>
    <w:rsid w:val="591362E9"/>
    <w:rsid w:val="59156270"/>
    <w:rsid w:val="59227861"/>
    <w:rsid w:val="5928592B"/>
    <w:rsid w:val="59482EB8"/>
    <w:rsid w:val="5972651C"/>
    <w:rsid w:val="5A12459D"/>
    <w:rsid w:val="5A201975"/>
    <w:rsid w:val="5A2E5601"/>
    <w:rsid w:val="5A51347D"/>
    <w:rsid w:val="5AAB7053"/>
    <w:rsid w:val="5AC2738F"/>
    <w:rsid w:val="5AFC0649"/>
    <w:rsid w:val="5B201B97"/>
    <w:rsid w:val="5B5C0CEB"/>
    <w:rsid w:val="5B9508DB"/>
    <w:rsid w:val="5C17597B"/>
    <w:rsid w:val="5C1A73B7"/>
    <w:rsid w:val="5CE04AB7"/>
    <w:rsid w:val="5CED5434"/>
    <w:rsid w:val="5D19796F"/>
    <w:rsid w:val="5D247304"/>
    <w:rsid w:val="5DA07AED"/>
    <w:rsid w:val="5E0F64A9"/>
    <w:rsid w:val="5E226AE4"/>
    <w:rsid w:val="5E87360F"/>
    <w:rsid w:val="5F036C38"/>
    <w:rsid w:val="5F57773F"/>
    <w:rsid w:val="5F865A75"/>
    <w:rsid w:val="5FBE29D8"/>
    <w:rsid w:val="5FE86344"/>
    <w:rsid w:val="607413BF"/>
    <w:rsid w:val="60BC53EF"/>
    <w:rsid w:val="60D45AF5"/>
    <w:rsid w:val="61027780"/>
    <w:rsid w:val="612605D2"/>
    <w:rsid w:val="61B465BF"/>
    <w:rsid w:val="61FB7015"/>
    <w:rsid w:val="620D6DAC"/>
    <w:rsid w:val="625866C8"/>
    <w:rsid w:val="627129F7"/>
    <w:rsid w:val="632867AF"/>
    <w:rsid w:val="6370708C"/>
    <w:rsid w:val="638953F4"/>
    <w:rsid w:val="638F6B6A"/>
    <w:rsid w:val="63974B7F"/>
    <w:rsid w:val="63B41A8E"/>
    <w:rsid w:val="63D64007"/>
    <w:rsid w:val="63F44DD9"/>
    <w:rsid w:val="63FF5D32"/>
    <w:rsid w:val="640A4280"/>
    <w:rsid w:val="642A61F7"/>
    <w:rsid w:val="64367C04"/>
    <w:rsid w:val="64782998"/>
    <w:rsid w:val="653E6B5C"/>
    <w:rsid w:val="658D6C7E"/>
    <w:rsid w:val="65DB5FF1"/>
    <w:rsid w:val="66002BEC"/>
    <w:rsid w:val="66216C98"/>
    <w:rsid w:val="662777EB"/>
    <w:rsid w:val="664C5AF9"/>
    <w:rsid w:val="66A767BE"/>
    <w:rsid w:val="673A0337"/>
    <w:rsid w:val="67441728"/>
    <w:rsid w:val="678E5122"/>
    <w:rsid w:val="67971486"/>
    <w:rsid w:val="67AB74CF"/>
    <w:rsid w:val="67C92C74"/>
    <w:rsid w:val="67D166B0"/>
    <w:rsid w:val="68070F03"/>
    <w:rsid w:val="685C72BD"/>
    <w:rsid w:val="68694029"/>
    <w:rsid w:val="688A0EA2"/>
    <w:rsid w:val="68946D08"/>
    <w:rsid w:val="68C61C38"/>
    <w:rsid w:val="6960453B"/>
    <w:rsid w:val="6A1B62E6"/>
    <w:rsid w:val="6A292A3B"/>
    <w:rsid w:val="6A574ACC"/>
    <w:rsid w:val="6B065584"/>
    <w:rsid w:val="6B087713"/>
    <w:rsid w:val="6B8C22D2"/>
    <w:rsid w:val="6BCC7B16"/>
    <w:rsid w:val="6BED2C94"/>
    <w:rsid w:val="6C052523"/>
    <w:rsid w:val="6C2216A6"/>
    <w:rsid w:val="6C7B45A8"/>
    <w:rsid w:val="6C93129E"/>
    <w:rsid w:val="6CB84779"/>
    <w:rsid w:val="6D2E4AE7"/>
    <w:rsid w:val="6D2E5AED"/>
    <w:rsid w:val="6D422099"/>
    <w:rsid w:val="6D5D2899"/>
    <w:rsid w:val="6D6D5CF4"/>
    <w:rsid w:val="6D8A3EFB"/>
    <w:rsid w:val="6D8F6582"/>
    <w:rsid w:val="6DBB323B"/>
    <w:rsid w:val="6DC352E1"/>
    <w:rsid w:val="6DCC5B35"/>
    <w:rsid w:val="6E0B6EAB"/>
    <w:rsid w:val="6E28521A"/>
    <w:rsid w:val="6E2F277D"/>
    <w:rsid w:val="6E3D1684"/>
    <w:rsid w:val="6E796718"/>
    <w:rsid w:val="6E7D5E48"/>
    <w:rsid w:val="6ED11FEA"/>
    <w:rsid w:val="6F0A01C5"/>
    <w:rsid w:val="6F9B519C"/>
    <w:rsid w:val="6FC34F4E"/>
    <w:rsid w:val="6FCB7439"/>
    <w:rsid w:val="6FE46719"/>
    <w:rsid w:val="704A5291"/>
    <w:rsid w:val="709C3544"/>
    <w:rsid w:val="70B8552E"/>
    <w:rsid w:val="70CF5FCF"/>
    <w:rsid w:val="71323AC1"/>
    <w:rsid w:val="716867B6"/>
    <w:rsid w:val="71B76A39"/>
    <w:rsid w:val="71C92C92"/>
    <w:rsid w:val="71D63BD6"/>
    <w:rsid w:val="720E6C5C"/>
    <w:rsid w:val="723F7DCE"/>
    <w:rsid w:val="728C2411"/>
    <w:rsid w:val="72D549D0"/>
    <w:rsid w:val="72EE6B94"/>
    <w:rsid w:val="72F963B7"/>
    <w:rsid w:val="73136812"/>
    <w:rsid w:val="7383219D"/>
    <w:rsid w:val="73857890"/>
    <w:rsid w:val="73AE0024"/>
    <w:rsid w:val="74286040"/>
    <w:rsid w:val="745A0FD6"/>
    <w:rsid w:val="747D3DA5"/>
    <w:rsid w:val="74CA42EA"/>
    <w:rsid w:val="74EB372F"/>
    <w:rsid w:val="7515477F"/>
    <w:rsid w:val="75930CBE"/>
    <w:rsid w:val="759D7C99"/>
    <w:rsid w:val="760D1E9B"/>
    <w:rsid w:val="762D0ED9"/>
    <w:rsid w:val="76766876"/>
    <w:rsid w:val="76E235E7"/>
    <w:rsid w:val="77271244"/>
    <w:rsid w:val="773B7ACF"/>
    <w:rsid w:val="775C3083"/>
    <w:rsid w:val="77A51B0F"/>
    <w:rsid w:val="77A674CC"/>
    <w:rsid w:val="77CB5856"/>
    <w:rsid w:val="780118BE"/>
    <w:rsid w:val="78147E3D"/>
    <w:rsid w:val="78366D12"/>
    <w:rsid w:val="784C141F"/>
    <w:rsid w:val="78591FAB"/>
    <w:rsid w:val="786E34C5"/>
    <w:rsid w:val="7884311C"/>
    <w:rsid w:val="791F191E"/>
    <w:rsid w:val="79341367"/>
    <w:rsid w:val="7964654D"/>
    <w:rsid w:val="79752883"/>
    <w:rsid w:val="798F0915"/>
    <w:rsid w:val="79DE4292"/>
    <w:rsid w:val="79F72F38"/>
    <w:rsid w:val="7A222590"/>
    <w:rsid w:val="7A23259A"/>
    <w:rsid w:val="7A5D1B2F"/>
    <w:rsid w:val="7A8B6304"/>
    <w:rsid w:val="7B110498"/>
    <w:rsid w:val="7B2A2BFA"/>
    <w:rsid w:val="7B6575B7"/>
    <w:rsid w:val="7BD613B0"/>
    <w:rsid w:val="7C5851D6"/>
    <w:rsid w:val="7C5A337F"/>
    <w:rsid w:val="7C6646DB"/>
    <w:rsid w:val="7C6B73DC"/>
    <w:rsid w:val="7C991C05"/>
    <w:rsid w:val="7C9D777E"/>
    <w:rsid w:val="7CC14990"/>
    <w:rsid w:val="7D4C7C02"/>
    <w:rsid w:val="7E04602F"/>
    <w:rsid w:val="7E487AAD"/>
    <w:rsid w:val="7E6A0F0A"/>
    <w:rsid w:val="7EB61DB2"/>
    <w:rsid w:val="7ED36FE9"/>
    <w:rsid w:val="7F154003"/>
    <w:rsid w:val="7F312AF8"/>
    <w:rsid w:val="7F781342"/>
    <w:rsid w:val="7F817663"/>
    <w:rsid w:val="7FB32C6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autoRedefine/>
    <w:semiHidden/>
    <w:unhideWhenUsed/>
    <w:qFormat/>
    <w:uiPriority w:val="1"/>
  </w:style>
  <w:style w:type="table" w:default="1" w:styleId="6">
    <w:name w:val="Normal Table"/>
    <w:autoRedefine/>
    <w:semiHidden/>
    <w:unhideWhenUsed/>
    <w:qFormat/>
    <w:uiPriority w:val="99"/>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CellMar>
        <w:top w:w="0" w:type="dxa"/>
        <w:left w:w="108" w:type="dxa"/>
        <w:bottom w:w="0" w:type="dxa"/>
        <w:right w:w="108" w:type="dxa"/>
      </w:tblCellMar>
    </w:tblPr>
  </w:style>
  <w:style w:type="paragraph" w:styleId="2">
    <w:name w:val="annotation text"/>
    <w:basedOn w:val="1"/>
    <w:autoRedefine/>
    <w:qFormat/>
    <w:uiPriority w:val="0"/>
    <w:pPr>
      <w:jc w:val="left"/>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autoRedefine/>
    <w:qFormat/>
    <w:uiPriority w:val="0"/>
    <w:pPr>
      <w:spacing w:beforeAutospacing="1" w:afterAutospacing="1"/>
      <w:jc w:val="left"/>
    </w:pPr>
    <w:rPr>
      <w:kern w:val="0"/>
      <w:sz w:val="24"/>
    </w:rPr>
  </w:style>
  <w:style w:type="paragraph" w:styleId="8">
    <w:name w:val="List Paragraph"/>
    <w:basedOn w:val="1"/>
    <w:next w:val="1"/>
    <w:autoRedefine/>
    <w:unhideWhenUsed/>
    <w:qFormat/>
    <w:uiPriority w:val="99"/>
    <w:pPr>
      <w:ind w:firstLine="420" w:firstLineChars="200"/>
    </w:pPr>
  </w:style>
  <w:style w:type="paragraph" w:customStyle="1" w:styleId="9">
    <w:name w:val="_Style 2"/>
    <w:basedOn w:val="1"/>
    <w:next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ABC728B-B9FA-4D0A-8BF8-C060692087B2}">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5</Pages>
  <Words>4076</Words>
  <Characters>4120</Characters>
  <Lines>108</Lines>
  <Paragraphs>30</Paragraphs>
  <TotalTime>36</TotalTime>
  <ScaleCrop>false</ScaleCrop>
  <LinksUpToDate>false</LinksUpToDate>
  <CharactersWithSpaces>4122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2021-09-09T06:05:00Z</dcterms:created>
  <dc:creator>~天空湛蓝~</dc:creator>
  <cp:lastModifiedBy>簡單的活著</cp:lastModifiedBy>
  <cp:lastPrinted>2022-09-19T03:03:00Z</cp:lastPrinted>
  <dcterms:modified xsi:type="dcterms:W3CDTF">2025-12-29T06:42:37Z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B8B3CE43912D47B18A58849F47CD4CE5_13</vt:lpwstr>
  </property>
  <property fmtid="{D5CDD505-2E9C-101B-9397-08002B2CF9AE}" pid="4" name="KSOTemplateDocerSaveRecord">
    <vt:lpwstr>eyJoZGlkIjoiZDVjYzU2ZWY0ZGViZGYwMDJiOWE0OGFlZWM1YTMzYzgiLCJ1c2VySWQiOiIxOTQxODgxNTAifQ==</vt:lpwstr>
  </property>
</Properties>
</file>